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9FB0C7" w14:textId="313F69DD" w:rsidR="00064C0F" w:rsidRDefault="009D4270" w:rsidP="00AB7382">
      <w:r w:rsidRPr="506318FD">
        <w:rPr>
          <w:rFonts w:ascii="Calibri" w:eastAsia="Calibri" w:hAnsi="Calibri" w:cs="Calibri"/>
          <w:b/>
          <w:bCs/>
          <w:sz w:val="40"/>
          <w:szCs w:val="40"/>
        </w:rPr>
        <w:t>Toyota estreia bZ4X e amplia portfólio de eletrificados com seu primeiro modelo 100% elétrico no Brasil</w:t>
      </w:r>
    </w:p>
    <w:p w14:paraId="396B26EB" w14:textId="7DDB9A03" w:rsidR="00064C0F" w:rsidRDefault="00064C0F" w:rsidP="00AB7382"/>
    <w:p w14:paraId="6F794C2D" w14:textId="380D9F08" w:rsidR="00064C0F" w:rsidRDefault="7CBE4C5F" w:rsidP="506318FD">
      <w:pPr>
        <w:jc w:val="center"/>
      </w:pPr>
      <w:r>
        <w:rPr>
          <w:noProof/>
        </w:rPr>
        <w:drawing>
          <wp:inline distT="0" distB="0" distL="0" distR="0" wp14:anchorId="54647AFF" wp14:editId="711D7A78">
            <wp:extent cx="4638675" cy="3095023"/>
            <wp:effectExtent l="0" t="0" r="0" b="0"/>
            <wp:docPr id="167214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4542" name="Picture 167214542"/>
                    <pic:cNvPicPr/>
                  </pic:nvPicPr>
                  <pic:blipFill>
                    <a:blip r:embed="rId8">
                      <a:extLst>
                        <a:ext uri="{28A0092B-C50C-407E-A947-70E740481C1C}">
                          <a14:useLocalDpi xmlns:a14="http://schemas.microsoft.com/office/drawing/2010/main"/>
                        </a:ext>
                      </a:extLst>
                    </a:blip>
                    <a:stretch>
                      <a:fillRect/>
                    </a:stretch>
                  </pic:blipFill>
                  <pic:spPr>
                    <a:xfrm>
                      <a:off x="0" y="0"/>
                      <a:ext cx="4638675" cy="3095023"/>
                    </a:xfrm>
                    <a:prstGeom prst="rect">
                      <a:avLst/>
                    </a:prstGeom>
                  </pic:spPr>
                </pic:pic>
              </a:graphicData>
            </a:graphic>
          </wp:inline>
        </w:drawing>
      </w:r>
    </w:p>
    <w:p w14:paraId="626DC2CA" w14:textId="77777777" w:rsidR="00426D9C" w:rsidRPr="00426D9C" w:rsidRDefault="00426D9C" w:rsidP="506318FD">
      <w:pPr>
        <w:jc w:val="center"/>
        <w:rPr>
          <w:i/>
          <w:iCs/>
          <w:sz w:val="16"/>
          <w:szCs w:val="16"/>
        </w:rPr>
      </w:pPr>
    </w:p>
    <w:p w14:paraId="61AADB0F" w14:textId="55FC023D" w:rsidR="00426D9C" w:rsidRPr="00426D9C" w:rsidRDefault="00426D9C" w:rsidP="506318FD">
      <w:pPr>
        <w:jc w:val="center"/>
        <w:rPr>
          <w:i/>
          <w:iCs/>
          <w:sz w:val="16"/>
          <w:szCs w:val="16"/>
        </w:rPr>
      </w:pPr>
      <w:r w:rsidRPr="00426D9C">
        <w:rPr>
          <w:i/>
          <w:iCs/>
          <w:sz w:val="16"/>
          <w:szCs w:val="16"/>
        </w:rPr>
        <w:t>Clique aqui e confira todas as imagens</w:t>
      </w:r>
    </w:p>
    <w:p w14:paraId="00000001" w14:textId="3363BB87" w:rsidR="00064C0F" w:rsidRDefault="00064C0F" w:rsidP="00AB7382"/>
    <w:p w14:paraId="11D16677" w14:textId="2380DD60" w:rsidR="6DC2A005" w:rsidRDefault="6DC2A005" w:rsidP="506318FD">
      <w:pPr>
        <w:numPr>
          <w:ilvl w:val="0"/>
          <w:numId w:val="1"/>
        </w:numPr>
        <w:jc w:val="both"/>
        <w:rPr>
          <w:rFonts w:ascii="Calibri" w:eastAsia="Calibri" w:hAnsi="Calibri" w:cs="Calibri"/>
          <w:i/>
          <w:iCs/>
          <w:sz w:val="24"/>
          <w:szCs w:val="24"/>
        </w:rPr>
      </w:pPr>
      <w:r w:rsidRPr="506318FD">
        <w:rPr>
          <w:rFonts w:ascii="Calibri" w:eastAsia="Calibri" w:hAnsi="Calibri" w:cs="Calibri"/>
          <w:i/>
          <w:iCs/>
          <w:sz w:val="24"/>
          <w:szCs w:val="24"/>
        </w:rPr>
        <w:t>Lançamento inaugura a era eletrificada da marca no país</w:t>
      </w:r>
    </w:p>
    <w:p w14:paraId="00000003" w14:textId="77777777" w:rsidR="00064C0F" w:rsidRDefault="009D4270">
      <w:pPr>
        <w:numPr>
          <w:ilvl w:val="0"/>
          <w:numId w:val="1"/>
        </w:numPr>
        <w:jc w:val="both"/>
        <w:rPr>
          <w:rFonts w:ascii="Calibri" w:eastAsia="Calibri" w:hAnsi="Calibri" w:cs="Calibri"/>
          <w:i/>
          <w:iCs/>
          <w:sz w:val="24"/>
          <w:szCs w:val="24"/>
        </w:rPr>
      </w:pPr>
      <w:r>
        <w:rPr>
          <w:rFonts w:ascii="Calibri" w:eastAsia="Calibri" w:hAnsi="Calibri" w:cs="Calibri"/>
          <w:i/>
          <w:iCs/>
          <w:sz w:val="24"/>
          <w:szCs w:val="24"/>
        </w:rPr>
        <w:t>bZ4X chega às concessionárias brasileiras em versão única com preço de R$ 419.900</w:t>
      </w:r>
    </w:p>
    <w:p w14:paraId="00000004" w14:textId="6B733D8E" w:rsidR="00064C0F" w:rsidRDefault="009D4270" w:rsidP="518D4A4E">
      <w:pPr>
        <w:numPr>
          <w:ilvl w:val="0"/>
          <w:numId w:val="1"/>
        </w:numPr>
        <w:jc w:val="both"/>
        <w:rPr>
          <w:rFonts w:ascii="Calibri" w:eastAsia="Calibri" w:hAnsi="Calibri" w:cs="Calibri"/>
          <w:i/>
          <w:iCs/>
          <w:sz w:val="24"/>
          <w:szCs w:val="24"/>
        </w:rPr>
      </w:pPr>
      <w:r w:rsidRPr="518D4A4E">
        <w:rPr>
          <w:rFonts w:ascii="Calibri" w:eastAsia="Calibri" w:hAnsi="Calibri" w:cs="Calibri"/>
          <w:i/>
          <w:iCs/>
          <w:sz w:val="24"/>
          <w:szCs w:val="24"/>
        </w:rPr>
        <w:t>BEV da Toyota é o único do segmento no</w:t>
      </w:r>
      <w:r w:rsidR="2C9597D0" w:rsidRPr="518D4A4E">
        <w:rPr>
          <w:rFonts w:ascii="Calibri" w:eastAsia="Calibri" w:hAnsi="Calibri" w:cs="Calibri"/>
          <w:i/>
          <w:iCs/>
          <w:sz w:val="24"/>
          <w:szCs w:val="24"/>
        </w:rPr>
        <w:t xml:space="preserve"> país </w:t>
      </w:r>
      <w:r w:rsidRPr="518D4A4E">
        <w:rPr>
          <w:rFonts w:ascii="Calibri" w:eastAsia="Calibri" w:hAnsi="Calibri" w:cs="Calibri"/>
          <w:i/>
          <w:iCs/>
          <w:sz w:val="24"/>
          <w:szCs w:val="24"/>
        </w:rPr>
        <w:t>com garantia de até 10 anos</w:t>
      </w:r>
    </w:p>
    <w:p w14:paraId="00000005" w14:textId="527A8CF3" w:rsidR="00064C0F" w:rsidRDefault="009D4270">
      <w:pPr>
        <w:numPr>
          <w:ilvl w:val="0"/>
          <w:numId w:val="1"/>
        </w:numPr>
        <w:jc w:val="both"/>
        <w:rPr>
          <w:rFonts w:ascii="Calibri" w:eastAsia="Calibri" w:hAnsi="Calibri" w:cs="Calibri"/>
          <w:i/>
          <w:iCs/>
          <w:sz w:val="24"/>
          <w:szCs w:val="24"/>
        </w:rPr>
      </w:pPr>
      <w:r>
        <w:rPr>
          <w:rFonts w:ascii="Calibri" w:eastAsia="Calibri" w:hAnsi="Calibri" w:cs="Calibri"/>
          <w:i/>
          <w:iCs/>
          <w:sz w:val="24"/>
          <w:szCs w:val="24"/>
        </w:rPr>
        <w:t>Veículo conta com dois motores elétricos e potência combinada de 34</w:t>
      </w:r>
      <w:r w:rsidR="005919C5">
        <w:rPr>
          <w:rFonts w:ascii="Calibri" w:eastAsia="Calibri" w:hAnsi="Calibri" w:cs="Calibri"/>
          <w:i/>
          <w:iCs/>
          <w:sz w:val="24"/>
          <w:szCs w:val="24"/>
        </w:rPr>
        <w:t>3</w:t>
      </w:r>
      <w:r>
        <w:rPr>
          <w:rFonts w:ascii="Calibri" w:eastAsia="Calibri" w:hAnsi="Calibri" w:cs="Calibri"/>
          <w:i/>
          <w:iCs/>
          <w:sz w:val="24"/>
          <w:szCs w:val="24"/>
        </w:rPr>
        <w:t xml:space="preserve"> cv</w:t>
      </w:r>
    </w:p>
    <w:p w14:paraId="00000006" w14:textId="77777777" w:rsidR="00064C0F" w:rsidRDefault="00064C0F">
      <w:pPr>
        <w:jc w:val="both"/>
        <w:rPr>
          <w:rFonts w:ascii="Calibri" w:eastAsia="Calibri" w:hAnsi="Calibri" w:cs="Calibri"/>
          <w:b/>
          <w:bCs/>
        </w:rPr>
      </w:pPr>
    </w:p>
    <w:p w14:paraId="00000007" w14:textId="1720BEEC" w:rsidR="00064C0F" w:rsidRPr="005273C3" w:rsidRDefault="2C2A937E">
      <w:pPr>
        <w:spacing w:after="160" w:line="278" w:lineRule="auto"/>
        <w:jc w:val="both"/>
        <w:rPr>
          <w:rFonts w:ascii="Calibri" w:eastAsia="Calibri" w:hAnsi="Calibri" w:cs="Calibri"/>
          <w:b/>
          <w:bCs/>
          <w:sz w:val="24"/>
          <w:szCs w:val="24"/>
        </w:rPr>
      </w:pPr>
      <w:r w:rsidRPr="42B8361F">
        <w:rPr>
          <w:rFonts w:ascii="Calibri" w:eastAsia="Calibri" w:hAnsi="Calibri" w:cs="Calibri"/>
          <w:b/>
          <w:bCs/>
          <w:sz w:val="24"/>
          <w:szCs w:val="24"/>
        </w:rPr>
        <w:t xml:space="preserve">São Paulo, </w:t>
      </w:r>
      <w:r w:rsidR="087DE5D8" w:rsidRPr="42B8361F">
        <w:rPr>
          <w:rFonts w:ascii="Calibri" w:eastAsia="Calibri" w:hAnsi="Calibri" w:cs="Calibri"/>
          <w:b/>
          <w:bCs/>
          <w:sz w:val="24"/>
          <w:szCs w:val="24"/>
        </w:rPr>
        <w:t>23</w:t>
      </w:r>
      <w:r w:rsidRPr="42B8361F">
        <w:rPr>
          <w:rFonts w:ascii="Calibri" w:eastAsia="Calibri" w:hAnsi="Calibri" w:cs="Calibri"/>
          <w:b/>
          <w:bCs/>
          <w:sz w:val="24"/>
          <w:szCs w:val="24"/>
        </w:rPr>
        <w:t xml:space="preserve"> de junho de 2026 </w:t>
      </w:r>
      <w:r w:rsidR="27786910" w:rsidRPr="42B8361F">
        <w:rPr>
          <w:rFonts w:ascii="Calibri" w:eastAsia="Calibri" w:hAnsi="Calibri" w:cs="Calibri"/>
          <w:b/>
          <w:bCs/>
          <w:sz w:val="24"/>
          <w:szCs w:val="24"/>
        </w:rPr>
        <w:t>–</w:t>
      </w:r>
      <w:r w:rsidRPr="42B8361F">
        <w:rPr>
          <w:rFonts w:ascii="Calibri" w:eastAsia="Calibri" w:hAnsi="Calibri" w:cs="Calibri"/>
          <w:b/>
          <w:bCs/>
          <w:sz w:val="24"/>
          <w:szCs w:val="24"/>
        </w:rPr>
        <w:t xml:space="preserve"> </w:t>
      </w:r>
      <w:r w:rsidR="27786910" w:rsidRPr="42B8361F">
        <w:rPr>
          <w:rFonts w:ascii="Calibri" w:eastAsia="Calibri" w:hAnsi="Calibri" w:cs="Calibri"/>
          <w:sz w:val="24"/>
          <w:szCs w:val="24"/>
        </w:rPr>
        <w:t>A Toyota do Brasil lança o novo bZ4X, evolução do primeiro elétrico global da Toyota agora disponível para o mercado brasileiro, ampliando sua gama de produtos eletrificados no País.</w:t>
      </w:r>
      <w:r w:rsidR="54D32CA5" w:rsidRPr="42B8361F">
        <w:rPr>
          <w:rFonts w:ascii="Calibri" w:eastAsia="Calibri" w:hAnsi="Calibri" w:cs="Calibri"/>
          <w:b/>
          <w:bCs/>
          <w:sz w:val="24"/>
          <w:szCs w:val="24"/>
        </w:rPr>
        <w:t xml:space="preserve"> </w:t>
      </w:r>
      <w:r w:rsidRPr="42B8361F">
        <w:rPr>
          <w:rFonts w:ascii="Calibri" w:eastAsia="Calibri" w:hAnsi="Calibri" w:cs="Calibri"/>
          <w:sz w:val="24"/>
          <w:szCs w:val="24"/>
        </w:rPr>
        <w:t xml:space="preserve">O modelo reforça a estratégia </w:t>
      </w:r>
      <w:proofErr w:type="spellStart"/>
      <w:r w:rsidRPr="42B8361F">
        <w:rPr>
          <w:rFonts w:ascii="Calibri" w:eastAsia="Calibri" w:hAnsi="Calibri" w:cs="Calibri"/>
          <w:i/>
          <w:iCs/>
          <w:sz w:val="24"/>
          <w:szCs w:val="24"/>
        </w:rPr>
        <w:t>multipathway</w:t>
      </w:r>
      <w:proofErr w:type="spellEnd"/>
      <w:r w:rsidRPr="42B8361F">
        <w:rPr>
          <w:rFonts w:ascii="Calibri" w:eastAsia="Calibri" w:hAnsi="Calibri" w:cs="Calibri"/>
          <w:sz w:val="24"/>
          <w:szCs w:val="24"/>
        </w:rPr>
        <w:t xml:space="preserve"> da fabricante de oferecer soluções de mobilidade sustentáveis e diversificadas. Com preço estabelecido em R$ 419.990, o bZ4X chega às concessionárias no fim de junho em um lote restrito a 99 unidades.</w:t>
      </w:r>
    </w:p>
    <w:p w14:paraId="00000008"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Um dos grandes diferenciais do bZ4X no mercado nacional é o suporte oferecido pela marca. A Toyota é a única fabricante no Brasil a oferecer até 10 anos de garantia para um veículo elétrico, por meio do programa Toyota 10. Sem nenhum custo adicional ao proprietário, o benefício é ativado automaticamente ao serem realizadas revisões programadas na rede autorizada Toyota após o término do período inicial de 5 anos de garantia de fábrica.</w:t>
      </w:r>
    </w:p>
    <w:p w14:paraId="00000009"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Essa cobertura adicional é renovável a cada 12 meses ou 10.000 km e contempla peças de carroceria, sistema de arrefecimento, componentes elétricos e eletrônicos, motor, transmissão e freios até o limite máximo de 60 meses (totalizando 120 meses quando </w:t>
      </w:r>
      <w:r>
        <w:rPr>
          <w:rFonts w:ascii="Calibri" w:eastAsia="Calibri" w:hAnsi="Calibri" w:cs="Calibri"/>
          <w:sz w:val="24"/>
          <w:szCs w:val="24"/>
        </w:rPr>
        <w:lastRenderedPageBreak/>
        <w:t>somados à garantia inicial) e 200.000 km para uso particular ou 100.000 km para uso comercial – o que ocorrer primeiro.</w:t>
      </w:r>
    </w:p>
    <w:p w14:paraId="5AFEE7B9" w14:textId="53B1EDBF" w:rsidR="005479FE" w:rsidRPr="005479FE" w:rsidRDefault="005479FE" w:rsidP="005479FE">
      <w:pPr>
        <w:spacing w:after="160" w:line="278" w:lineRule="auto"/>
        <w:jc w:val="both"/>
        <w:rPr>
          <w:rFonts w:ascii="Calibri" w:eastAsia="Calibri" w:hAnsi="Calibri" w:cs="Calibri"/>
          <w:sz w:val="24"/>
          <w:szCs w:val="24"/>
        </w:rPr>
      </w:pPr>
      <w:r w:rsidRPr="42B8361F">
        <w:rPr>
          <w:rFonts w:ascii="Calibri" w:eastAsia="Calibri" w:hAnsi="Calibri" w:cs="Calibri"/>
          <w:sz w:val="24"/>
          <w:szCs w:val="24"/>
        </w:rPr>
        <w:t xml:space="preserve">O bZ4X já acumula resultados positivos em mercados internacionais estratégicos para a Toyota e chega ao Brasil como mais um passo da estratégia global de eletrificação da marca. O modelo </w:t>
      </w:r>
      <w:r w:rsidR="00A612C6" w:rsidRPr="42B8361F">
        <w:rPr>
          <w:rFonts w:ascii="Calibri" w:eastAsia="Calibri" w:hAnsi="Calibri" w:cs="Calibri"/>
          <w:sz w:val="24"/>
          <w:szCs w:val="24"/>
        </w:rPr>
        <w:t>reflete</w:t>
      </w:r>
      <w:r w:rsidRPr="42B8361F">
        <w:rPr>
          <w:rFonts w:ascii="Calibri" w:eastAsia="Calibri" w:hAnsi="Calibri" w:cs="Calibri"/>
          <w:sz w:val="24"/>
          <w:szCs w:val="24"/>
        </w:rPr>
        <w:t xml:space="preserve"> a confiança da companhia na abordagem </w:t>
      </w:r>
      <w:proofErr w:type="spellStart"/>
      <w:r w:rsidRPr="42B8361F">
        <w:rPr>
          <w:rFonts w:ascii="Calibri" w:eastAsia="Calibri" w:hAnsi="Calibri" w:cs="Calibri"/>
          <w:i/>
          <w:iCs/>
          <w:sz w:val="24"/>
          <w:szCs w:val="24"/>
        </w:rPr>
        <w:t>multipathway</w:t>
      </w:r>
      <w:proofErr w:type="spellEnd"/>
      <w:r w:rsidRPr="42B8361F">
        <w:rPr>
          <w:rFonts w:ascii="Calibri" w:eastAsia="Calibri" w:hAnsi="Calibri" w:cs="Calibri"/>
          <w:sz w:val="24"/>
          <w:szCs w:val="24"/>
        </w:rPr>
        <w:t>, que considera diferentes tecnologias e soluções de mobilidade para atender às necessidades específicas de cada região e contribuir de forma efetiva para a redução de emissões.</w:t>
      </w:r>
    </w:p>
    <w:p w14:paraId="0D0886D0" w14:textId="5B06982B" w:rsidR="00E80767" w:rsidRDefault="00E80767">
      <w:pPr>
        <w:spacing w:after="160" w:line="278" w:lineRule="auto"/>
        <w:jc w:val="both"/>
        <w:rPr>
          <w:rFonts w:ascii="Calibri" w:eastAsia="Calibri" w:hAnsi="Calibri" w:cs="Calibri"/>
          <w:b/>
          <w:bCs/>
          <w:sz w:val="24"/>
          <w:szCs w:val="24"/>
        </w:rPr>
      </w:pPr>
      <w:proofErr w:type="spellStart"/>
      <w:r w:rsidRPr="00E80767">
        <w:rPr>
          <w:rFonts w:ascii="Calibri" w:eastAsia="Calibri" w:hAnsi="Calibri" w:cs="Calibri"/>
          <w:b/>
          <w:bCs/>
          <w:sz w:val="24"/>
          <w:szCs w:val="24"/>
        </w:rPr>
        <w:t>Beyond</w:t>
      </w:r>
      <w:proofErr w:type="spellEnd"/>
      <w:r w:rsidRPr="00E80767">
        <w:rPr>
          <w:rFonts w:ascii="Calibri" w:eastAsia="Calibri" w:hAnsi="Calibri" w:cs="Calibri"/>
          <w:b/>
          <w:bCs/>
          <w:sz w:val="24"/>
          <w:szCs w:val="24"/>
        </w:rPr>
        <w:t xml:space="preserve"> Zero: muito além da eletrificação</w:t>
      </w:r>
    </w:p>
    <w:p w14:paraId="2397D1E2" w14:textId="77777777" w:rsidR="005723F0" w:rsidRPr="005723F0" w:rsidRDefault="005723F0" w:rsidP="005723F0">
      <w:pPr>
        <w:spacing w:after="160" w:line="278" w:lineRule="auto"/>
        <w:jc w:val="both"/>
        <w:rPr>
          <w:rFonts w:ascii="Calibri" w:eastAsia="Calibri" w:hAnsi="Calibri" w:cs="Calibri"/>
          <w:sz w:val="24"/>
          <w:szCs w:val="24"/>
        </w:rPr>
      </w:pPr>
      <w:r w:rsidRPr="005723F0">
        <w:rPr>
          <w:rFonts w:ascii="Calibri" w:eastAsia="Calibri" w:hAnsi="Calibri" w:cs="Calibri"/>
          <w:sz w:val="24"/>
          <w:szCs w:val="24"/>
        </w:rPr>
        <w:t>O bZ4X representa a materialização do conceito “</w:t>
      </w:r>
      <w:proofErr w:type="spellStart"/>
      <w:r w:rsidRPr="005723F0">
        <w:rPr>
          <w:rFonts w:ascii="Calibri" w:eastAsia="Calibri" w:hAnsi="Calibri" w:cs="Calibri"/>
          <w:sz w:val="24"/>
          <w:szCs w:val="24"/>
        </w:rPr>
        <w:t>Beyond</w:t>
      </w:r>
      <w:proofErr w:type="spellEnd"/>
      <w:r w:rsidRPr="005723F0">
        <w:rPr>
          <w:rFonts w:ascii="Calibri" w:eastAsia="Calibri" w:hAnsi="Calibri" w:cs="Calibri"/>
          <w:sz w:val="24"/>
          <w:szCs w:val="24"/>
        </w:rPr>
        <w:t xml:space="preserve"> Zero”, visão global da Toyota que vai além da neutralidade de carbono e reforça o compromisso da marca em desenvolver soluções de mobilidade capazes de gerar impactos positivos para as pessoas e para a sociedade.</w:t>
      </w:r>
    </w:p>
    <w:p w14:paraId="125B93B6" w14:textId="77777777" w:rsidR="005723F0" w:rsidRPr="005723F0" w:rsidRDefault="005723F0" w:rsidP="005723F0">
      <w:pPr>
        <w:spacing w:after="160" w:line="278" w:lineRule="auto"/>
        <w:jc w:val="both"/>
        <w:rPr>
          <w:rFonts w:ascii="Calibri" w:eastAsia="Calibri" w:hAnsi="Calibri" w:cs="Calibri"/>
          <w:sz w:val="24"/>
          <w:szCs w:val="24"/>
        </w:rPr>
      </w:pPr>
      <w:r w:rsidRPr="005723F0">
        <w:rPr>
          <w:rFonts w:ascii="Calibri" w:eastAsia="Calibri" w:hAnsi="Calibri" w:cs="Calibri"/>
          <w:sz w:val="24"/>
          <w:szCs w:val="24"/>
        </w:rPr>
        <w:t>Mais do que um veículo 100% elétrico, o modelo simboliza uma nova etapa da estratégia de eletrificação da Toyota na América Latina, combinando inovação, segurança, sustentabilidade e diferentes alternativas tecnológicas de mobilidade.</w:t>
      </w:r>
    </w:p>
    <w:p w14:paraId="4D03F633" w14:textId="4286B658" w:rsidR="00E80767" w:rsidRPr="00F57D2C" w:rsidRDefault="005723F0">
      <w:pPr>
        <w:spacing w:after="160" w:line="278" w:lineRule="auto"/>
        <w:jc w:val="both"/>
        <w:rPr>
          <w:rFonts w:ascii="Calibri" w:eastAsia="Calibri" w:hAnsi="Calibri" w:cs="Calibri"/>
          <w:sz w:val="24"/>
          <w:szCs w:val="24"/>
        </w:rPr>
      </w:pPr>
      <w:r w:rsidRPr="42B8361F">
        <w:rPr>
          <w:rFonts w:ascii="Calibri" w:eastAsia="Calibri" w:hAnsi="Calibri" w:cs="Calibri"/>
          <w:sz w:val="24"/>
          <w:szCs w:val="24"/>
        </w:rPr>
        <w:t xml:space="preserve">Nesse contexto, o lançamento do bZ4X no Brasil também reforça a estratégia </w:t>
      </w:r>
      <w:proofErr w:type="spellStart"/>
      <w:r w:rsidRPr="42B8361F">
        <w:rPr>
          <w:rFonts w:ascii="Calibri" w:eastAsia="Calibri" w:hAnsi="Calibri" w:cs="Calibri"/>
          <w:sz w:val="24"/>
          <w:szCs w:val="24"/>
        </w:rPr>
        <w:t>multipathway</w:t>
      </w:r>
      <w:proofErr w:type="spellEnd"/>
      <w:r w:rsidRPr="42B8361F">
        <w:rPr>
          <w:rFonts w:ascii="Calibri" w:eastAsia="Calibri" w:hAnsi="Calibri" w:cs="Calibri"/>
          <w:sz w:val="24"/>
          <w:szCs w:val="24"/>
        </w:rPr>
        <w:t xml:space="preserve"> da Toyota na região, baseada na oferta de múltiplas rotas tecnológicas para acelerar a descarbonização de acordo com as diferentes realidades de infraestrutura, matriz energética e perfil dos consumidores.</w:t>
      </w:r>
    </w:p>
    <w:p w14:paraId="0000000A" w14:textId="77777777" w:rsidR="00064C0F" w:rsidRDefault="009D4270">
      <w:pPr>
        <w:spacing w:after="160" w:line="278" w:lineRule="auto"/>
        <w:jc w:val="both"/>
        <w:rPr>
          <w:rFonts w:ascii="Calibri" w:eastAsia="Calibri" w:hAnsi="Calibri" w:cs="Calibri"/>
          <w:b/>
          <w:bCs/>
          <w:sz w:val="24"/>
          <w:szCs w:val="24"/>
        </w:rPr>
      </w:pPr>
      <w:r>
        <w:rPr>
          <w:rFonts w:ascii="Calibri" w:eastAsia="Calibri" w:hAnsi="Calibri" w:cs="Calibri"/>
          <w:b/>
          <w:bCs/>
          <w:sz w:val="24"/>
          <w:szCs w:val="24"/>
        </w:rPr>
        <w:t>Design sofisticado e funcional</w:t>
      </w:r>
    </w:p>
    <w:p w14:paraId="0000000B" w14:textId="4B0C5641" w:rsidR="00064C0F" w:rsidRDefault="009D4270">
      <w:pPr>
        <w:spacing w:before="240" w:after="240" w:line="278" w:lineRule="auto"/>
        <w:jc w:val="both"/>
        <w:rPr>
          <w:rFonts w:ascii="Calibri" w:eastAsia="Calibri" w:hAnsi="Calibri" w:cs="Calibri"/>
          <w:sz w:val="24"/>
          <w:szCs w:val="24"/>
        </w:rPr>
      </w:pPr>
      <w:r w:rsidRPr="42B8361F">
        <w:rPr>
          <w:rFonts w:ascii="Calibri" w:eastAsia="Calibri" w:hAnsi="Calibri" w:cs="Calibri"/>
          <w:sz w:val="24"/>
          <w:szCs w:val="24"/>
        </w:rPr>
        <w:t>O design do bZ4X reflete uma combinação equilibrada entre sofisticação e robustez. A dianteira apresenta</w:t>
      </w:r>
      <w:r w:rsidR="29139BEB" w:rsidRPr="42B8361F">
        <w:rPr>
          <w:rFonts w:ascii="Calibri" w:eastAsia="Calibri" w:hAnsi="Calibri" w:cs="Calibri"/>
          <w:sz w:val="24"/>
          <w:szCs w:val="24"/>
        </w:rPr>
        <w:t xml:space="preserve"> a</w:t>
      </w:r>
      <w:r w:rsidRPr="42B8361F">
        <w:rPr>
          <w:rFonts w:ascii="Calibri" w:eastAsia="Calibri" w:hAnsi="Calibri" w:cs="Calibri"/>
          <w:sz w:val="24"/>
          <w:szCs w:val="24"/>
        </w:rPr>
        <w:t xml:space="preserve"> identidade visual caracterizada pelo conceito </w:t>
      </w:r>
      <w:proofErr w:type="spellStart"/>
      <w:r w:rsidRPr="42B8361F">
        <w:rPr>
          <w:rFonts w:ascii="Calibri" w:eastAsia="Calibri" w:hAnsi="Calibri" w:cs="Calibri"/>
          <w:sz w:val="24"/>
          <w:szCs w:val="24"/>
        </w:rPr>
        <w:t>Hammerhead</w:t>
      </w:r>
      <w:proofErr w:type="spellEnd"/>
      <w:r w:rsidRPr="42B8361F">
        <w:rPr>
          <w:rFonts w:ascii="Calibri" w:eastAsia="Calibri" w:hAnsi="Calibri" w:cs="Calibri"/>
          <w:sz w:val="24"/>
          <w:szCs w:val="24"/>
        </w:rPr>
        <w:t xml:space="preserve">, um formato que remete à cabeça de um tubarão-martelo, conferindo ao SUV uma presença marcante e futurista. Sem uma grade frontal convencional, o design prioriza a aerodinâmica, com aberturas precisas nos cantos dos para-choques e uma </w:t>
      </w:r>
      <w:proofErr w:type="spellStart"/>
      <w:r w:rsidRPr="42B8361F">
        <w:rPr>
          <w:rFonts w:ascii="Calibri" w:eastAsia="Calibri" w:hAnsi="Calibri" w:cs="Calibri"/>
          <w:sz w:val="24"/>
          <w:szCs w:val="24"/>
        </w:rPr>
        <w:t>sub-grade</w:t>
      </w:r>
      <w:proofErr w:type="spellEnd"/>
      <w:r w:rsidRPr="42B8361F">
        <w:rPr>
          <w:rFonts w:ascii="Calibri" w:eastAsia="Calibri" w:hAnsi="Calibri" w:cs="Calibri"/>
          <w:sz w:val="24"/>
          <w:szCs w:val="24"/>
        </w:rPr>
        <w:t xml:space="preserve"> fina para o resfriamento dos componentes.</w:t>
      </w:r>
    </w:p>
    <w:p w14:paraId="0000000C" w14:textId="1A3E0507" w:rsidR="00064C0F" w:rsidRDefault="009D4270">
      <w:pPr>
        <w:spacing w:before="240" w:after="240" w:line="278" w:lineRule="auto"/>
        <w:jc w:val="both"/>
        <w:rPr>
          <w:rFonts w:ascii="Calibri" w:eastAsia="Calibri" w:hAnsi="Calibri" w:cs="Calibri"/>
          <w:sz w:val="24"/>
          <w:szCs w:val="24"/>
        </w:rPr>
      </w:pPr>
      <w:r>
        <w:rPr>
          <w:rFonts w:ascii="Calibri" w:eastAsia="Calibri" w:hAnsi="Calibri" w:cs="Calibri"/>
          <w:sz w:val="24"/>
          <w:szCs w:val="24"/>
        </w:rPr>
        <w:t>Nas laterais, as linhas fluidas e a silhueta baixa reforçam o caráter dinâmico do modelo, enquanto os moldes dos arcos das rodas acentuam sua robustez de SUV. A traseira traz uma barra em LED que atravessa toda a largura do veículo, conectando-se harmoniosamente à tampa do porta-malas. Cada detalhe exterior</w:t>
      </w:r>
      <w:r w:rsidR="00BC441C">
        <w:rPr>
          <w:rFonts w:ascii="Calibri" w:eastAsia="Calibri" w:hAnsi="Calibri" w:cs="Calibri"/>
          <w:sz w:val="24"/>
          <w:szCs w:val="24"/>
        </w:rPr>
        <w:t xml:space="preserve">, </w:t>
      </w:r>
      <w:r>
        <w:rPr>
          <w:rFonts w:ascii="Calibri" w:eastAsia="Calibri" w:hAnsi="Calibri" w:cs="Calibri"/>
          <w:sz w:val="24"/>
          <w:szCs w:val="24"/>
        </w:rPr>
        <w:t>desde o spoiler do teto dividido até o difusor inferior</w:t>
      </w:r>
      <w:r w:rsidR="00BC441C">
        <w:rPr>
          <w:rFonts w:ascii="Calibri" w:eastAsia="Calibri" w:hAnsi="Calibri" w:cs="Calibri"/>
          <w:sz w:val="24"/>
          <w:szCs w:val="24"/>
        </w:rPr>
        <w:t xml:space="preserve">, </w:t>
      </w:r>
      <w:r>
        <w:rPr>
          <w:rFonts w:ascii="Calibri" w:eastAsia="Calibri" w:hAnsi="Calibri" w:cs="Calibri"/>
          <w:sz w:val="24"/>
          <w:szCs w:val="24"/>
        </w:rPr>
        <w:t>foi meticulosamente projetado para otimizar o fluxo de ar, garantindo não apenas um visual sofisticado, mas também uma maior autonomia e estabilidade em altas velocidades.</w:t>
      </w:r>
    </w:p>
    <w:p w14:paraId="0000000D" w14:textId="77777777" w:rsidR="00064C0F" w:rsidRDefault="009D4270">
      <w:pPr>
        <w:spacing w:after="160" w:line="278" w:lineRule="auto"/>
        <w:jc w:val="both"/>
        <w:rPr>
          <w:rFonts w:ascii="Calibri" w:eastAsia="Calibri" w:hAnsi="Calibri" w:cs="Calibri"/>
          <w:color w:val="FF0000"/>
          <w:sz w:val="24"/>
          <w:szCs w:val="24"/>
        </w:rPr>
      </w:pPr>
      <w:r>
        <w:rPr>
          <w:rFonts w:ascii="Calibri" w:eastAsia="Calibri" w:hAnsi="Calibri" w:cs="Calibri"/>
          <w:sz w:val="24"/>
          <w:szCs w:val="24"/>
        </w:rPr>
        <w:t xml:space="preserve">O novo bZ4X está disponível em </w:t>
      </w:r>
      <w:proofErr w:type="spellStart"/>
      <w:r>
        <w:rPr>
          <w:rFonts w:ascii="Calibri" w:eastAsia="Calibri" w:hAnsi="Calibri" w:cs="Calibri"/>
          <w:i/>
          <w:iCs/>
          <w:sz w:val="24"/>
          <w:szCs w:val="24"/>
        </w:rPr>
        <w:t>Monotone</w:t>
      </w:r>
      <w:proofErr w:type="spellEnd"/>
      <w:r>
        <w:rPr>
          <w:rFonts w:ascii="Calibri" w:eastAsia="Calibri" w:hAnsi="Calibri" w:cs="Calibri"/>
          <w:sz w:val="24"/>
          <w:szCs w:val="24"/>
        </w:rPr>
        <w:t xml:space="preserve"> na cor Preto Atitude e em</w:t>
      </w:r>
      <w:r>
        <w:rPr>
          <w:rFonts w:ascii="Calibri" w:eastAsia="Calibri" w:hAnsi="Calibri" w:cs="Calibri"/>
          <w:i/>
          <w:iCs/>
          <w:sz w:val="24"/>
          <w:szCs w:val="24"/>
        </w:rPr>
        <w:t xml:space="preserve"> </w:t>
      </w:r>
      <w:proofErr w:type="spellStart"/>
      <w:r>
        <w:rPr>
          <w:rFonts w:ascii="Calibri" w:eastAsia="Calibri" w:hAnsi="Calibri" w:cs="Calibri"/>
          <w:i/>
          <w:iCs/>
          <w:sz w:val="24"/>
          <w:szCs w:val="24"/>
        </w:rPr>
        <w:t>Dualtone</w:t>
      </w:r>
      <w:proofErr w:type="spellEnd"/>
      <w:r>
        <w:rPr>
          <w:rFonts w:ascii="Calibri" w:eastAsia="Calibri" w:hAnsi="Calibri" w:cs="Calibri"/>
          <w:sz w:val="24"/>
          <w:szCs w:val="24"/>
        </w:rPr>
        <w:t xml:space="preserve"> nas opções </w:t>
      </w:r>
      <w:proofErr w:type="spellStart"/>
      <w:r>
        <w:rPr>
          <w:rFonts w:ascii="Calibri" w:eastAsia="Calibri" w:hAnsi="Calibri" w:cs="Calibri"/>
          <w:sz w:val="24"/>
          <w:szCs w:val="24"/>
        </w:rPr>
        <w:t>Precious</w:t>
      </w:r>
      <w:proofErr w:type="spellEnd"/>
      <w:r>
        <w:rPr>
          <w:rFonts w:ascii="Calibri" w:eastAsia="Calibri" w:hAnsi="Calibri" w:cs="Calibri"/>
          <w:sz w:val="24"/>
          <w:szCs w:val="24"/>
        </w:rPr>
        <w:t xml:space="preserve"> Metal/Preto Atitude Metálico, Branco Lunar/Preto Atitude Metálico e Azul </w:t>
      </w:r>
      <w:r>
        <w:rPr>
          <w:rFonts w:ascii="Calibri" w:eastAsia="Calibri" w:hAnsi="Calibri" w:cs="Calibri"/>
          <w:sz w:val="24"/>
          <w:szCs w:val="24"/>
        </w:rPr>
        <w:lastRenderedPageBreak/>
        <w:t>Topázio/Preto Atitude Metálico. As rodas são de liga leve de 20 polegadas, que exibem um acabamento diamantado com fundo na cor preta, calçadas por pneus de perfil 235/50R20.</w:t>
      </w:r>
    </w:p>
    <w:p w14:paraId="0000000E"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b/>
          <w:bCs/>
          <w:sz w:val="24"/>
          <w:szCs w:val="24"/>
        </w:rPr>
        <w:t>Interior traz conforto e conectividade</w:t>
      </w:r>
    </w:p>
    <w:p w14:paraId="0000000F" w14:textId="0DC796F3" w:rsidR="00064C0F" w:rsidRDefault="009D4270">
      <w:pPr>
        <w:spacing w:after="160" w:line="278" w:lineRule="auto"/>
        <w:jc w:val="both"/>
        <w:rPr>
          <w:rFonts w:ascii="Calibri" w:eastAsia="Calibri" w:hAnsi="Calibri" w:cs="Calibri"/>
          <w:sz w:val="24"/>
          <w:szCs w:val="24"/>
        </w:rPr>
      </w:pPr>
      <w:r w:rsidRPr="506318FD">
        <w:rPr>
          <w:rFonts w:ascii="Calibri" w:eastAsia="Calibri" w:hAnsi="Calibri" w:cs="Calibri"/>
          <w:sz w:val="24"/>
          <w:szCs w:val="24"/>
        </w:rPr>
        <w:t>O interior do bZ4X traz como destaque da cabine a central multimídia com tela de 14", que integra navegação nativa,</w:t>
      </w:r>
      <w:r w:rsidR="00A53685" w:rsidRPr="506318FD">
        <w:rPr>
          <w:rFonts w:ascii="Calibri" w:eastAsia="Calibri" w:hAnsi="Calibri" w:cs="Calibri"/>
          <w:sz w:val="24"/>
          <w:szCs w:val="24"/>
        </w:rPr>
        <w:t xml:space="preserve"> seis</w:t>
      </w:r>
      <w:r w:rsidRPr="506318FD">
        <w:rPr>
          <w:rFonts w:ascii="Calibri" w:eastAsia="Calibri" w:hAnsi="Calibri" w:cs="Calibri"/>
          <w:sz w:val="24"/>
          <w:szCs w:val="24"/>
        </w:rPr>
        <w:t xml:space="preserve"> alto-falantes com amplificador assinados pela JBL, conectividade sem fio para o sistema Apple </w:t>
      </w:r>
      <w:proofErr w:type="spellStart"/>
      <w:r w:rsidRPr="506318FD">
        <w:rPr>
          <w:rFonts w:ascii="Calibri" w:eastAsia="Calibri" w:hAnsi="Calibri" w:cs="Calibri"/>
          <w:sz w:val="24"/>
          <w:szCs w:val="24"/>
        </w:rPr>
        <w:t>CarPlay</w:t>
      </w:r>
      <w:proofErr w:type="spellEnd"/>
      <w:r w:rsidRPr="506318FD">
        <w:rPr>
          <w:rFonts w:ascii="Calibri" w:eastAsia="Calibri" w:hAnsi="Calibri" w:cs="Calibri"/>
          <w:sz w:val="24"/>
          <w:szCs w:val="24"/>
        </w:rPr>
        <w:t>® e</w:t>
      </w:r>
      <w:r w:rsidR="26ADCF71" w:rsidRPr="506318FD">
        <w:rPr>
          <w:rFonts w:ascii="Calibri" w:eastAsia="Calibri" w:hAnsi="Calibri" w:cs="Calibri"/>
          <w:sz w:val="24"/>
          <w:szCs w:val="24"/>
        </w:rPr>
        <w:t xml:space="preserve"> co</w:t>
      </w:r>
      <w:r w:rsidR="1B2A7E5D" w:rsidRPr="506318FD">
        <w:rPr>
          <w:rFonts w:ascii="Calibri" w:eastAsia="Calibri" w:hAnsi="Calibri" w:cs="Calibri"/>
          <w:sz w:val="24"/>
          <w:szCs w:val="24"/>
        </w:rPr>
        <w:t xml:space="preserve">nexão via cabo USB para </w:t>
      </w:r>
      <w:r w:rsidRPr="506318FD">
        <w:rPr>
          <w:rFonts w:ascii="Calibri" w:eastAsia="Calibri" w:hAnsi="Calibri" w:cs="Calibri"/>
          <w:sz w:val="24"/>
          <w:szCs w:val="24"/>
        </w:rPr>
        <w:t>Android Auto®, além de botões físicos para controle de volume e temperatura. A conectividade interna ainda conta com a presença de quatro portas USB-C, duas na dianteira e duas na traseira, distribuídas de modo a facilitar o acesso de todos os ocupantes.</w:t>
      </w:r>
    </w:p>
    <w:p w14:paraId="00000010" w14:textId="26C057E0"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O bem-estar a bordo é garantido pelo ar-condicionado digital automático Dual Zone com sistema S-Flow. Os bancos dianteiros são equipados com aquecimento e ventilação, enquanto o motorista conta com ajustes elétricos de 10 posições e função de memória. A praticidade se estende aos passageiros traseiros, que dispõem de bancos reclináveis com aquecimento e dutos de ventilação dedicados. </w:t>
      </w:r>
    </w:p>
    <w:p w14:paraId="00000011"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Pensado para o conforto no dia a dia, o bZ4X oferece o sistema </w:t>
      </w:r>
      <w:proofErr w:type="spellStart"/>
      <w:r>
        <w:rPr>
          <w:rFonts w:ascii="Calibri" w:eastAsia="Calibri" w:hAnsi="Calibri" w:cs="Calibri"/>
          <w:i/>
          <w:iCs/>
          <w:sz w:val="24"/>
          <w:szCs w:val="24"/>
        </w:rPr>
        <w:t>Smart</w:t>
      </w:r>
      <w:proofErr w:type="spellEnd"/>
      <w:r>
        <w:rPr>
          <w:rFonts w:ascii="Calibri" w:eastAsia="Calibri" w:hAnsi="Calibri" w:cs="Calibri"/>
          <w:i/>
          <w:iCs/>
          <w:sz w:val="24"/>
          <w:szCs w:val="24"/>
        </w:rPr>
        <w:t xml:space="preserve"> </w:t>
      </w:r>
      <w:proofErr w:type="spellStart"/>
      <w:r>
        <w:rPr>
          <w:rFonts w:ascii="Calibri" w:eastAsia="Calibri" w:hAnsi="Calibri" w:cs="Calibri"/>
          <w:i/>
          <w:iCs/>
          <w:sz w:val="24"/>
          <w:szCs w:val="24"/>
        </w:rPr>
        <w:t>Entry</w:t>
      </w:r>
      <w:proofErr w:type="spellEnd"/>
      <w:r>
        <w:rPr>
          <w:rFonts w:ascii="Calibri" w:eastAsia="Calibri" w:hAnsi="Calibri" w:cs="Calibri"/>
          <w:sz w:val="24"/>
          <w:szCs w:val="24"/>
        </w:rPr>
        <w:t xml:space="preserve"> de destravamento de portas e com partida por botão, carregador duplo de celular por indução e volante aquecido com comandos integrados. No porta-malas, de capacidade de 452 L, a funcionalidade é elevada pela abertura e fechamento elétricos com a função </w:t>
      </w:r>
      <w:proofErr w:type="spellStart"/>
      <w:r>
        <w:rPr>
          <w:rFonts w:ascii="Calibri" w:eastAsia="Calibri" w:hAnsi="Calibri" w:cs="Calibri"/>
          <w:i/>
          <w:iCs/>
          <w:sz w:val="24"/>
          <w:szCs w:val="24"/>
        </w:rPr>
        <w:t>Kick</w:t>
      </w:r>
      <w:proofErr w:type="spellEnd"/>
      <w:r>
        <w:rPr>
          <w:rFonts w:ascii="Calibri" w:eastAsia="Calibri" w:hAnsi="Calibri" w:cs="Calibri"/>
          <w:i/>
          <w:iCs/>
          <w:sz w:val="24"/>
          <w:szCs w:val="24"/>
        </w:rPr>
        <w:t xml:space="preserve"> Sensor</w:t>
      </w:r>
      <w:r>
        <w:rPr>
          <w:rFonts w:ascii="Calibri" w:eastAsia="Calibri" w:hAnsi="Calibri" w:cs="Calibri"/>
          <w:sz w:val="24"/>
          <w:szCs w:val="24"/>
        </w:rPr>
        <w:t>, permitindo o acesso ao compartimento com as mãos ocupadas.</w:t>
      </w:r>
    </w:p>
    <w:p w14:paraId="00000012" w14:textId="77777777" w:rsidR="00064C0F" w:rsidRDefault="009D4270">
      <w:pPr>
        <w:spacing w:after="160" w:line="278" w:lineRule="auto"/>
        <w:jc w:val="both"/>
        <w:rPr>
          <w:rFonts w:ascii="Calibri" w:eastAsia="Calibri" w:hAnsi="Calibri" w:cs="Calibri"/>
          <w:b/>
          <w:bCs/>
          <w:sz w:val="24"/>
          <w:szCs w:val="24"/>
        </w:rPr>
      </w:pPr>
      <w:r>
        <w:rPr>
          <w:rFonts w:ascii="Calibri" w:eastAsia="Calibri" w:hAnsi="Calibri" w:cs="Calibri"/>
          <w:b/>
          <w:bCs/>
          <w:sz w:val="24"/>
          <w:szCs w:val="24"/>
        </w:rPr>
        <w:t>Motorização elétrica entrega performance vigorosa</w:t>
      </w:r>
    </w:p>
    <w:p w14:paraId="00000013" w14:textId="0CBED10C" w:rsidR="00064C0F" w:rsidRDefault="009D4270">
      <w:pPr>
        <w:spacing w:before="240" w:after="240" w:line="278" w:lineRule="auto"/>
        <w:jc w:val="both"/>
        <w:rPr>
          <w:rFonts w:ascii="Calibri" w:eastAsia="Calibri" w:hAnsi="Calibri" w:cs="Calibri"/>
          <w:sz w:val="24"/>
          <w:szCs w:val="24"/>
        </w:rPr>
      </w:pPr>
      <w:r>
        <w:rPr>
          <w:rFonts w:ascii="Calibri" w:eastAsia="Calibri" w:hAnsi="Calibri" w:cs="Calibri"/>
          <w:sz w:val="24"/>
          <w:szCs w:val="24"/>
        </w:rPr>
        <w:t>Equipado com dois motores elétricos distribuídos entre os eixos dianteiro e traseiro, o bZ4X apresenta tração integral (AWD) e uma performance vigorosa. O conjunto entrega uma potência combinada de 34</w:t>
      </w:r>
      <w:r w:rsidR="00600F1A">
        <w:rPr>
          <w:rFonts w:ascii="Calibri" w:eastAsia="Calibri" w:hAnsi="Calibri" w:cs="Calibri"/>
          <w:sz w:val="24"/>
          <w:szCs w:val="24"/>
        </w:rPr>
        <w:t>3</w:t>
      </w:r>
      <w:r>
        <w:rPr>
          <w:rFonts w:ascii="Calibri" w:eastAsia="Calibri" w:hAnsi="Calibri" w:cs="Calibri"/>
          <w:sz w:val="24"/>
          <w:szCs w:val="24"/>
        </w:rPr>
        <w:t xml:space="preserve"> cv, com torque instantâneo de 27,4 </w:t>
      </w:r>
      <w:proofErr w:type="spellStart"/>
      <w:r>
        <w:rPr>
          <w:rFonts w:ascii="Calibri" w:eastAsia="Calibri" w:hAnsi="Calibri" w:cs="Calibri"/>
          <w:sz w:val="24"/>
          <w:szCs w:val="24"/>
        </w:rPr>
        <w:t>kgfm</w:t>
      </w:r>
      <w:proofErr w:type="spellEnd"/>
      <w:r>
        <w:rPr>
          <w:rFonts w:ascii="Calibri" w:eastAsia="Calibri" w:hAnsi="Calibri" w:cs="Calibri"/>
          <w:sz w:val="24"/>
          <w:szCs w:val="24"/>
        </w:rPr>
        <w:t xml:space="preserve"> no eixo dianteiro e 17,3 </w:t>
      </w:r>
      <w:proofErr w:type="spellStart"/>
      <w:r>
        <w:rPr>
          <w:rFonts w:ascii="Calibri" w:eastAsia="Calibri" w:hAnsi="Calibri" w:cs="Calibri"/>
          <w:sz w:val="24"/>
          <w:szCs w:val="24"/>
        </w:rPr>
        <w:t>kgfm</w:t>
      </w:r>
      <w:proofErr w:type="spellEnd"/>
      <w:r>
        <w:rPr>
          <w:rFonts w:ascii="Calibri" w:eastAsia="Calibri" w:hAnsi="Calibri" w:cs="Calibri"/>
          <w:sz w:val="24"/>
          <w:szCs w:val="24"/>
        </w:rPr>
        <w:t xml:space="preserve"> no traseiro. Essa configuração garante acelerações lineares e retomadas precisas em qualquer regime de velocidade, proporcionando uma condução ágil e segura em diferentes condições de rodagem.</w:t>
      </w:r>
    </w:p>
    <w:p w14:paraId="00000014" w14:textId="66288138" w:rsidR="00064C0F" w:rsidRDefault="009D4270">
      <w:pPr>
        <w:spacing w:before="240" w:after="240" w:line="278" w:lineRule="auto"/>
        <w:jc w:val="both"/>
        <w:rPr>
          <w:rFonts w:ascii="Calibri" w:eastAsia="Calibri" w:hAnsi="Calibri" w:cs="Calibri"/>
          <w:sz w:val="24"/>
          <w:szCs w:val="24"/>
        </w:rPr>
      </w:pPr>
      <w:r w:rsidRPr="506318FD">
        <w:rPr>
          <w:rFonts w:ascii="Calibri" w:eastAsia="Calibri" w:hAnsi="Calibri" w:cs="Calibri"/>
          <w:sz w:val="24"/>
          <w:szCs w:val="24"/>
        </w:rPr>
        <w:t xml:space="preserve">O conjunto é sustentado pela plataforma global e-TNGA, projetada especificamente para veículos elétricos a bateria, que posiciona as células de energia na base do chassi para garantir um centro de gravidade extremamente </w:t>
      </w:r>
      <w:proofErr w:type="spellStart"/>
      <w:r w:rsidRPr="506318FD">
        <w:rPr>
          <w:rFonts w:ascii="Calibri" w:eastAsia="Calibri" w:hAnsi="Calibri" w:cs="Calibri"/>
          <w:sz w:val="24"/>
          <w:szCs w:val="24"/>
        </w:rPr>
        <w:t>baixo</w:t>
      </w:r>
      <w:proofErr w:type="spellEnd"/>
      <w:r w:rsidRPr="506318FD">
        <w:rPr>
          <w:rFonts w:ascii="Calibri" w:eastAsia="Calibri" w:hAnsi="Calibri" w:cs="Calibri"/>
          <w:sz w:val="24"/>
          <w:szCs w:val="24"/>
        </w:rPr>
        <w:t xml:space="preserve"> e uma estabilidade superior em curvas. A bateria de íons de lítio com sistema de refrigeração líquida tem capacidade total de </w:t>
      </w:r>
      <w:r w:rsidR="3E801A32" w:rsidRPr="506318FD">
        <w:rPr>
          <w:rFonts w:ascii="Calibri" w:eastAsia="Calibri" w:hAnsi="Calibri" w:cs="Calibri"/>
          <w:sz w:val="24"/>
          <w:szCs w:val="24"/>
        </w:rPr>
        <w:t xml:space="preserve">73,1 </w:t>
      </w:r>
      <w:r w:rsidRPr="506318FD">
        <w:rPr>
          <w:rFonts w:ascii="Calibri" w:eastAsia="Calibri" w:hAnsi="Calibri" w:cs="Calibri"/>
          <w:sz w:val="24"/>
          <w:szCs w:val="24"/>
        </w:rPr>
        <w:t>kWh, proporcionando uma autonomia de até</w:t>
      </w:r>
      <w:r w:rsidR="213DEB42" w:rsidRPr="506318FD">
        <w:rPr>
          <w:rFonts w:ascii="Calibri" w:eastAsia="Calibri" w:hAnsi="Calibri" w:cs="Calibri"/>
          <w:sz w:val="24"/>
          <w:szCs w:val="24"/>
        </w:rPr>
        <w:t xml:space="preserve"> 361km, segundo o Inmetro.</w:t>
      </w:r>
      <w:r w:rsidRPr="506318FD">
        <w:rPr>
          <w:rFonts w:ascii="Calibri" w:eastAsia="Calibri" w:hAnsi="Calibri" w:cs="Calibri"/>
          <w:sz w:val="24"/>
          <w:szCs w:val="24"/>
        </w:rPr>
        <w:t xml:space="preserve"> </w:t>
      </w:r>
    </w:p>
    <w:p w14:paraId="00000015" w14:textId="77777777" w:rsidR="00064C0F" w:rsidRDefault="009D4270">
      <w:pPr>
        <w:spacing w:before="240" w:after="240" w:line="278" w:lineRule="auto"/>
        <w:jc w:val="both"/>
        <w:rPr>
          <w:rFonts w:ascii="Calibri" w:eastAsia="Calibri" w:hAnsi="Calibri" w:cs="Calibri"/>
          <w:sz w:val="24"/>
          <w:szCs w:val="24"/>
        </w:rPr>
      </w:pPr>
      <w:r>
        <w:rPr>
          <w:rFonts w:ascii="Calibri" w:eastAsia="Calibri" w:hAnsi="Calibri" w:cs="Calibri"/>
          <w:sz w:val="24"/>
          <w:szCs w:val="24"/>
        </w:rPr>
        <w:t>Além da performance em asfalto, o bZ4X traz a renomada expertise da Toyota em veículos utilitários com a introdução do sistema X-MODE. Esta tecnologia de tração integral inteligente permite que o SUV elétrico enfrente terrenos de baixa aderência com segurança, oferecendo modos específicos para neve e terra (</w:t>
      </w:r>
      <w:proofErr w:type="spellStart"/>
      <w:r>
        <w:rPr>
          <w:rFonts w:ascii="Calibri" w:eastAsia="Calibri" w:hAnsi="Calibri" w:cs="Calibri"/>
          <w:sz w:val="24"/>
          <w:szCs w:val="24"/>
        </w:rPr>
        <w:t>Snow</w:t>
      </w:r>
      <w:proofErr w:type="spellEnd"/>
      <w:r>
        <w:rPr>
          <w:rFonts w:ascii="Calibri" w:eastAsia="Calibri" w:hAnsi="Calibri" w:cs="Calibri"/>
          <w:sz w:val="24"/>
          <w:szCs w:val="24"/>
        </w:rPr>
        <w:t>/</w:t>
      </w:r>
      <w:proofErr w:type="spellStart"/>
      <w:r>
        <w:rPr>
          <w:rFonts w:ascii="Calibri" w:eastAsia="Calibri" w:hAnsi="Calibri" w:cs="Calibri"/>
          <w:sz w:val="24"/>
          <w:szCs w:val="24"/>
        </w:rPr>
        <w:t>Dirt</w:t>
      </w:r>
      <w:proofErr w:type="spellEnd"/>
      <w:r>
        <w:rPr>
          <w:rFonts w:ascii="Calibri" w:eastAsia="Calibri" w:hAnsi="Calibri" w:cs="Calibri"/>
          <w:sz w:val="24"/>
          <w:szCs w:val="24"/>
        </w:rPr>
        <w:t>) e neve profunda e lama (</w:t>
      </w:r>
      <w:proofErr w:type="spellStart"/>
      <w:proofErr w:type="gramStart"/>
      <w:r>
        <w:rPr>
          <w:rFonts w:ascii="Calibri" w:eastAsia="Calibri" w:hAnsi="Calibri" w:cs="Calibri"/>
          <w:sz w:val="24"/>
          <w:szCs w:val="24"/>
        </w:rPr>
        <w:t>D.Snow</w:t>
      </w:r>
      <w:proofErr w:type="spellEnd"/>
      <w:proofErr w:type="gramEnd"/>
      <w:r>
        <w:rPr>
          <w:rFonts w:ascii="Calibri" w:eastAsia="Calibri" w:hAnsi="Calibri" w:cs="Calibri"/>
          <w:sz w:val="24"/>
          <w:szCs w:val="24"/>
        </w:rPr>
        <w:t>/</w:t>
      </w:r>
      <w:proofErr w:type="spellStart"/>
      <w:r>
        <w:rPr>
          <w:rFonts w:ascii="Calibri" w:eastAsia="Calibri" w:hAnsi="Calibri" w:cs="Calibri"/>
          <w:sz w:val="24"/>
          <w:szCs w:val="24"/>
        </w:rPr>
        <w:t>Mud</w:t>
      </w:r>
      <w:proofErr w:type="spellEnd"/>
      <w:r>
        <w:rPr>
          <w:rFonts w:ascii="Calibri" w:eastAsia="Calibri" w:hAnsi="Calibri" w:cs="Calibri"/>
          <w:sz w:val="24"/>
          <w:szCs w:val="24"/>
        </w:rPr>
        <w:t xml:space="preserve">). O sistema gerencia de forma autônoma a distribuição de força entre as rodas e o controle de </w:t>
      </w:r>
      <w:r>
        <w:rPr>
          <w:rFonts w:ascii="Calibri" w:eastAsia="Calibri" w:hAnsi="Calibri" w:cs="Calibri"/>
          <w:sz w:val="24"/>
          <w:szCs w:val="24"/>
        </w:rPr>
        <w:lastRenderedPageBreak/>
        <w:t>frenagem, assegurando que o bZ4X entregue não apenas eficiência energética, mas também a versatilidade e a robustez necessárias para diferentes perfis de uso no cenário brasileiro.</w:t>
      </w:r>
    </w:p>
    <w:p w14:paraId="00000016"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b/>
          <w:bCs/>
          <w:sz w:val="24"/>
          <w:szCs w:val="24"/>
        </w:rPr>
        <w:t>Segurança</w:t>
      </w:r>
    </w:p>
    <w:p w14:paraId="00000017" w14:textId="2A627899"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O bz4X conta com o </w:t>
      </w:r>
      <w:r>
        <w:rPr>
          <w:rFonts w:ascii="Calibri" w:eastAsia="Calibri" w:hAnsi="Calibri" w:cs="Calibri"/>
          <w:i/>
          <w:iCs/>
          <w:sz w:val="24"/>
          <w:szCs w:val="24"/>
        </w:rPr>
        <w:t xml:space="preserve">Toyota </w:t>
      </w:r>
      <w:proofErr w:type="spellStart"/>
      <w:r>
        <w:rPr>
          <w:rFonts w:ascii="Calibri" w:eastAsia="Calibri" w:hAnsi="Calibri" w:cs="Calibri"/>
          <w:i/>
          <w:iCs/>
          <w:sz w:val="24"/>
          <w:szCs w:val="24"/>
        </w:rPr>
        <w:t>Safety</w:t>
      </w:r>
      <w:proofErr w:type="spellEnd"/>
      <w:r>
        <w:rPr>
          <w:rFonts w:ascii="Calibri" w:eastAsia="Calibri" w:hAnsi="Calibri" w:cs="Calibri"/>
          <w:i/>
          <w:iCs/>
          <w:sz w:val="24"/>
          <w:szCs w:val="24"/>
        </w:rPr>
        <w:t xml:space="preserve"> Sense</w:t>
      </w:r>
      <w:r>
        <w:rPr>
          <w:rFonts w:ascii="Calibri" w:eastAsia="Calibri" w:hAnsi="Calibri" w:cs="Calibri"/>
          <w:sz w:val="24"/>
          <w:szCs w:val="24"/>
        </w:rPr>
        <w:t xml:space="preserve"> (TSS </w:t>
      </w:r>
      <w:r w:rsidR="00B541AC">
        <w:rPr>
          <w:rFonts w:ascii="Calibri" w:eastAsia="Calibri" w:hAnsi="Calibri" w:cs="Calibri"/>
          <w:sz w:val="24"/>
          <w:szCs w:val="24"/>
        </w:rPr>
        <w:t>3</w:t>
      </w:r>
      <w:r>
        <w:rPr>
          <w:rFonts w:ascii="Calibri" w:eastAsia="Calibri" w:hAnsi="Calibri" w:cs="Calibri"/>
          <w:sz w:val="24"/>
          <w:szCs w:val="24"/>
        </w:rPr>
        <w:t xml:space="preserve">.0), a geração mais tecnológica do pacote de comodidade e segurança ativa da marca que traz melhorias em </w:t>
      </w:r>
      <w:r>
        <w:rPr>
          <w:rFonts w:ascii="Calibri" w:eastAsia="Calibri" w:hAnsi="Calibri" w:cs="Calibri"/>
          <w:i/>
          <w:iCs/>
          <w:sz w:val="24"/>
          <w:szCs w:val="24"/>
        </w:rPr>
        <w:t>hardware</w:t>
      </w:r>
      <w:r>
        <w:rPr>
          <w:rFonts w:ascii="Calibri" w:eastAsia="Calibri" w:hAnsi="Calibri" w:cs="Calibri"/>
          <w:sz w:val="24"/>
          <w:szCs w:val="24"/>
        </w:rPr>
        <w:t xml:space="preserve"> e capacidade de detecção, e conta com recursos como:</w:t>
      </w:r>
    </w:p>
    <w:p w14:paraId="00000018" w14:textId="77777777" w:rsidR="00064C0F" w:rsidRDefault="009D4270">
      <w:pPr>
        <w:numPr>
          <w:ilvl w:val="0"/>
          <w:numId w:val="3"/>
        </w:numPr>
        <w:pBdr>
          <w:top w:val="nil"/>
          <w:left w:val="nil"/>
          <w:bottom w:val="nil"/>
          <w:right w:val="nil"/>
          <w:between w:val="nil"/>
        </w:pBdr>
        <w:spacing w:line="278" w:lineRule="auto"/>
        <w:jc w:val="both"/>
        <w:rPr>
          <w:rFonts w:ascii="Calibri" w:eastAsia="Calibri" w:hAnsi="Calibri" w:cs="Calibri"/>
          <w:color w:val="000000"/>
          <w:sz w:val="24"/>
          <w:szCs w:val="24"/>
        </w:rPr>
      </w:pPr>
      <w:r>
        <w:rPr>
          <w:rFonts w:ascii="Calibri" w:eastAsia="Calibri" w:hAnsi="Calibri" w:cs="Calibri"/>
          <w:b/>
          <w:bCs/>
          <w:color w:val="000000"/>
          <w:sz w:val="24"/>
          <w:szCs w:val="24"/>
        </w:rPr>
        <w:t xml:space="preserve">Sistema de </w:t>
      </w:r>
      <w:proofErr w:type="spellStart"/>
      <w:r>
        <w:rPr>
          <w:rFonts w:ascii="Calibri" w:eastAsia="Calibri" w:hAnsi="Calibri" w:cs="Calibri"/>
          <w:b/>
          <w:bCs/>
          <w:color w:val="000000"/>
          <w:sz w:val="24"/>
          <w:szCs w:val="24"/>
        </w:rPr>
        <w:t>Pré</w:t>
      </w:r>
      <w:proofErr w:type="spellEnd"/>
      <w:r>
        <w:rPr>
          <w:rFonts w:ascii="Calibri" w:eastAsia="Calibri" w:hAnsi="Calibri" w:cs="Calibri"/>
          <w:b/>
          <w:bCs/>
          <w:color w:val="000000"/>
          <w:sz w:val="24"/>
          <w:szCs w:val="24"/>
        </w:rPr>
        <w:t>-Colisão com Detecção de Pedestres (PCS + PD):</w:t>
      </w:r>
      <w:r>
        <w:rPr>
          <w:rFonts w:ascii="Calibri" w:eastAsia="Calibri" w:hAnsi="Calibri" w:cs="Calibri"/>
          <w:color w:val="000000"/>
          <w:sz w:val="24"/>
          <w:szCs w:val="24"/>
        </w:rPr>
        <w:t xml:space="preserve"> projetado para identificar veículos, pedestres, ciclistas ou motociclistas e emitir alertas visuais e sonoros em situações de risco. Caso o motorista não reaja, o sistema pode acionar automaticamente a frenagem de emergência;</w:t>
      </w:r>
    </w:p>
    <w:p w14:paraId="0000001A" w14:textId="6FC42D81" w:rsidR="00064C0F" w:rsidRDefault="009D4270" w:rsidP="506318FD">
      <w:pPr>
        <w:numPr>
          <w:ilvl w:val="0"/>
          <w:numId w:val="3"/>
        </w:numPr>
        <w:pBdr>
          <w:top w:val="nil"/>
          <w:left w:val="nil"/>
          <w:bottom w:val="nil"/>
          <w:right w:val="nil"/>
          <w:between w:val="nil"/>
        </w:pBdr>
        <w:spacing w:line="278" w:lineRule="auto"/>
        <w:jc w:val="both"/>
        <w:rPr>
          <w:rFonts w:ascii="Calibri" w:eastAsia="Calibri" w:hAnsi="Calibri" w:cs="Calibri"/>
          <w:color w:val="000000" w:themeColor="text1"/>
          <w:sz w:val="24"/>
          <w:szCs w:val="24"/>
        </w:rPr>
      </w:pPr>
      <w:r w:rsidRPr="506318FD">
        <w:rPr>
          <w:rFonts w:ascii="Calibri" w:eastAsia="Calibri" w:hAnsi="Calibri" w:cs="Calibri"/>
          <w:b/>
          <w:bCs/>
          <w:color w:val="000000" w:themeColor="text1"/>
          <w:sz w:val="24"/>
          <w:szCs w:val="24"/>
        </w:rPr>
        <w:t xml:space="preserve">Alerta de saída de faixa (LDA) com Assistente de Centralização na Faixa (LTA): </w:t>
      </w:r>
      <w:r w:rsidRPr="506318FD">
        <w:rPr>
          <w:rFonts w:ascii="Calibri" w:eastAsia="Calibri" w:hAnsi="Calibri" w:cs="Calibri"/>
          <w:color w:val="000000" w:themeColor="text1"/>
          <w:sz w:val="24"/>
          <w:szCs w:val="24"/>
        </w:rPr>
        <w:t>detecta as marcações da pista ou as bordas da via em velocidades acima de aproximadamente 48 km/h, emitindo alertas visuais e sonoros em caso de saída involuntária da faixa, além de auxiliar na manutenção do veículo centralizado na faixa;</w:t>
      </w:r>
    </w:p>
    <w:p w14:paraId="0000001B" w14:textId="77777777" w:rsidR="00064C0F" w:rsidRDefault="009D4270">
      <w:pPr>
        <w:numPr>
          <w:ilvl w:val="0"/>
          <w:numId w:val="3"/>
        </w:numPr>
        <w:pBdr>
          <w:top w:val="nil"/>
          <w:left w:val="nil"/>
          <w:bottom w:val="nil"/>
          <w:right w:val="nil"/>
          <w:between w:val="nil"/>
        </w:pBdr>
        <w:spacing w:line="278" w:lineRule="auto"/>
        <w:jc w:val="both"/>
        <w:rPr>
          <w:rFonts w:ascii="Calibri" w:eastAsia="Calibri" w:hAnsi="Calibri" w:cs="Calibri"/>
          <w:color w:val="000000"/>
          <w:sz w:val="24"/>
          <w:szCs w:val="24"/>
        </w:rPr>
      </w:pPr>
      <w:r>
        <w:rPr>
          <w:rFonts w:ascii="Calibri" w:eastAsia="Calibri" w:hAnsi="Calibri" w:cs="Calibri"/>
          <w:b/>
          <w:bCs/>
          <w:color w:val="000000"/>
          <w:sz w:val="24"/>
          <w:szCs w:val="24"/>
        </w:rPr>
        <w:t>Farol Alto Adaptativo (AHS):</w:t>
      </w:r>
      <w:r>
        <w:rPr>
          <w:rFonts w:ascii="Calibri" w:eastAsia="Calibri" w:hAnsi="Calibri" w:cs="Calibri"/>
          <w:color w:val="000000"/>
          <w:sz w:val="24"/>
          <w:szCs w:val="24"/>
        </w:rPr>
        <w:t xml:space="preserve"> ajusta automaticamente o feixe de luz do farol alto de forma seletiva, reduzindo a intensidade apenas nas áreas onde há outros veículos, sem desligá-lo completamente. Dessa forma, mantém maior iluminação da via e amplia a visibilidade noturna, sem ofuscar outros motoristas;</w:t>
      </w:r>
    </w:p>
    <w:p w14:paraId="0000001C" w14:textId="77777777" w:rsidR="00064C0F" w:rsidRDefault="009D4270">
      <w:pPr>
        <w:numPr>
          <w:ilvl w:val="0"/>
          <w:numId w:val="3"/>
        </w:numPr>
        <w:pBdr>
          <w:top w:val="nil"/>
          <w:left w:val="nil"/>
          <w:bottom w:val="nil"/>
          <w:right w:val="nil"/>
          <w:between w:val="nil"/>
        </w:pBdr>
        <w:spacing w:line="278" w:lineRule="auto"/>
        <w:jc w:val="both"/>
        <w:rPr>
          <w:rFonts w:ascii="Calibri" w:eastAsia="Calibri" w:hAnsi="Calibri" w:cs="Calibri"/>
          <w:sz w:val="24"/>
          <w:szCs w:val="24"/>
        </w:rPr>
      </w:pPr>
      <w:r>
        <w:rPr>
          <w:rFonts w:ascii="Calibri" w:eastAsia="Calibri" w:hAnsi="Calibri" w:cs="Calibri"/>
          <w:b/>
          <w:bCs/>
          <w:sz w:val="24"/>
          <w:szCs w:val="24"/>
          <w:highlight w:val="white"/>
        </w:rPr>
        <w:t>Assistente de Saída Segura (SEA):</w:t>
      </w:r>
      <w:r>
        <w:rPr>
          <w:rFonts w:ascii="Calibri" w:eastAsia="Calibri" w:hAnsi="Calibri" w:cs="Calibri"/>
          <w:sz w:val="24"/>
          <w:szCs w:val="24"/>
          <w:highlight w:val="white"/>
        </w:rPr>
        <w:t xml:space="preserve"> monitora a aproximação de veículos e ciclistas pela traseira ao abrir as portas e emite alertas visuais e sonoros, auxiliando a percepção para a abertura da porta em situações de risco.</w:t>
      </w:r>
      <w:r>
        <w:rPr>
          <w:rFonts w:ascii="Calibri" w:eastAsia="Calibri" w:hAnsi="Calibri" w:cs="Calibri"/>
          <w:sz w:val="24"/>
          <w:szCs w:val="24"/>
        </w:rPr>
        <w:t xml:space="preserve"> </w:t>
      </w:r>
    </w:p>
    <w:p w14:paraId="0000001D" w14:textId="77777777" w:rsidR="00064C0F" w:rsidRDefault="009D4270">
      <w:pPr>
        <w:numPr>
          <w:ilvl w:val="0"/>
          <w:numId w:val="3"/>
        </w:numPr>
        <w:pBdr>
          <w:top w:val="nil"/>
          <w:left w:val="nil"/>
          <w:bottom w:val="nil"/>
          <w:right w:val="nil"/>
          <w:between w:val="nil"/>
        </w:pBdr>
        <w:spacing w:after="160" w:line="278" w:lineRule="auto"/>
        <w:jc w:val="both"/>
        <w:rPr>
          <w:rFonts w:ascii="Calibri" w:eastAsia="Calibri" w:hAnsi="Calibri" w:cs="Calibri"/>
          <w:sz w:val="24"/>
          <w:szCs w:val="24"/>
        </w:rPr>
      </w:pPr>
      <w:r>
        <w:rPr>
          <w:rFonts w:ascii="Calibri" w:eastAsia="Calibri" w:hAnsi="Calibri" w:cs="Calibri"/>
          <w:b/>
          <w:bCs/>
          <w:sz w:val="24"/>
          <w:szCs w:val="24"/>
        </w:rPr>
        <w:t>Controle de Cruzeiro Adaptativo (ACC):</w:t>
      </w:r>
      <w:r>
        <w:rPr>
          <w:rFonts w:ascii="Calibri" w:eastAsia="Calibri" w:hAnsi="Calibri" w:cs="Calibri"/>
          <w:sz w:val="24"/>
          <w:szCs w:val="24"/>
        </w:rPr>
        <w:t xml:space="preserve"> </w:t>
      </w:r>
      <w:r>
        <w:rPr>
          <w:rFonts w:ascii="Calibri" w:eastAsia="Calibri" w:hAnsi="Calibri" w:cs="Calibri"/>
          <w:sz w:val="24"/>
          <w:szCs w:val="24"/>
          <w:highlight w:val="white"/>
        </w:rPr>
        <w:t xml:space="preserve">mantém a velocidade constante e ajusta automaticamente a distância em relação ao veículo à frente, utilizando radar e câmera para monitoramento contínuo. O sistema contribui para uma condução mais segura e confortável, inclusive em ambientes urbanos.  </w:t>
      </w:r>
    </w:p>
    <w:p w14:paraId="02B77A08" w14:textId="40BCF2CE" w:rsidR="00814D2D" w:rsidRDefault="009D4270" w:rsidP="00814D2D">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O bZ4X </w:t>
      </w:r>
      <w:r w:rsidR="00814D2D" w:rsidRPr="00814D2D">
        <w:rPr>
          <w:rFonts w:ascii="Calibri" w:eastAsia="Calibri" w:hAnsi="Calibri" w:cs="Calibri"/>
          <w:sz w:val="24"/>
          <w:szCs w:val="24"/>
        </w:rPr>
        <w:t xml:space="preserve">também oferece um robusto pacote de segurança com </w:t>
      </w:r>
      <w:r w:rsidR="00DF3837">
        <w:rPr>
          <w:rFonts w:ascii="Calibri" w:eastAsia="Calibri" w:hAnsi="Calibri" w:cs="Calibri"/>
          <w:sz w:val="24"/>
          <w:szCs w:val="24"/>
        </w:rPr>
        <w:t>oito</w:t>
      </w:r>
      <w:r w:rsidR="00814D2D" w:rsidRPr="00814D2D">
        <w:rPr>
          <w:rFonts w:ascii="Calibri" w:eastAsia="Calibri" w:hAnsi="Calibri" w:cs="Calibri"/>
          <w:sz w:val="24"/>
          <w:szCs w:val="24"/>
        </w:rPr>
        <w:t xml:space="preserve"> airbags: dois frontais, um de joelho para o motorista, dois laterais dianteiros</w:t>
      </w:r>
      <w:r w:rsidR="00DF3837">
        <w:rPr>
          <w:rFonts w:ascii="Calibri" w:eastAsia="Calibri" w:hAnsi="Calibri" w:cs="Calibri"/>
          <w:sz w:val="24"/>
          <w:szCs w:val="24"/>
        </w:rPr>
        <w:t>,</w:t>
      </w:r>
      <w:r w:rsidR="00814D2D" w:rsidRPr="00814D2D">
        <w:rPr>
          <w:rFonts w:ascii="Calibri" w:eastAsia="Calibri" w:hAnsi="Calibri" w:cs="Calibri"/>
          <w:sz w:val="24"/>
          <w:szCs w:val="24"/>
        </w:rPr>
        <w:t xml:space="preserve"> dois de cortina</w:t>
      </w:r>
      <w:r w:rsidR="00DF3837">
        <w:rPr>
          <w:rFonts w:ascii="Calibri" w:eastAsia="Calibri" w:hAnsi="Calibri" w:cs="Calibri"/>
          <w:sz w:val="24"/>
          <w:szCs w:val="24"/>
        </w:rPr>
        <w:t xml:space="preserve"> e um entre os bancos frontais. </w:t>
      </w:r>
      <w:r w:rsidR="00814D2D" w:rsidRPr="00814D2D">
        <w:rPr>
          <w:rFonts w:ascii="Calibri" w:eastAsia="Calibri" w:hAnsi="Calibri" w:cs="Calibri"/>
          <w:sz w:val="24"/>
          <w:szCs w:val="24"/>
        </w:rPr>
        <w:t>A estabilidade é garantida pelos sistemas de Controle Eletrônico de Tração (TRC) e Controle Eletrônico de Estabilidade Veicular (VSC), que inclui funções específicas de Controle de Oscilação de Reboque (TSC).</w:t>
      </w:r>
    </w:p>
    <w:p w14:paraId="0000001F" w14:textId="06B5ACEB" w:rsidR="00064C0F" w:rsidRDefault="009D4270" w:rsidP="00814D2D">
      <w:pPr>
        <w:spacing w:after="160" w:line="278" w:lineRule="auto"/>
        <w:jc w:val="both"/>
        <w:rPr>
          <w:rFonts w:ascii="Calibri" w:eastAsia="Calibri" w:hAnsi="Calibri" w:cs="Calibri"/>
          <w:sz w:val="24"/>
          <w:szCs w:val="24"/>
        </w:rPr>
      </w:pPr>
      <w:r w:rsidRPr="4FCC78E8">
        <w:rPr>
          <w:rFonts w:ascii="Calibri" w:eastAsia="Calibri" w:hAnsi="Calibri" w:cs="Calibri"/>
          <w:sz w:val="24"/>
          <w:szCs w:val="24"/>
        </w:rPr>
        <w:t xml:space="preserve">Por fim, há uma câmera de 360 graus (PVM) e sensores de estacionamento dianteiros (4) e traseiros (4), complementados pelo assistente de </w:t>
      </w:r>
      <w:proofErr w:type="spellStart"/>
      <w:r w:rsidRPr="4FCC78E8">
        <w:rPr>
          <w:rFonts w:ascii="Calibri" w:eastAsia="Calibri" w:hAnsi="Calibri" w:cs="Calibri"/>
          <w:sz w:val="24"/>
          <w:szCs w:val="24"/>
        </w:rPr>
        <w:t>auto-estacionamento</w:t>
      </w:r>
      <w:proofErr w:type="spellEnd"/>
      <w:r w:rsidRPr="4FCC78E8">
        <w:rPr>
          <w:rFonts w:ascii="Calibri" w:eastAsia="Calibri" w:hAnsi="Calibri" w:cs="Calibri"/>
          <w:sz w:val="24"/>
          <w:szCs w:val="24"/>
        </w:rPr>
        <w:t xml:space="preserve">, garantindo total controle e visibilidade ao motorista. O espelho retrovisor interno possui </w:t>
      </w:r>
      <w:proofErr w:type="spellStart"/>
      <w:r w:rsidRPr="4FCC78E8">
        <w:rPr>
          <w:rFonts w:ascii="Calibri" w:eastAsia="Calibri" w:hAnsi="Calibri" w:cs="Calibri"/>
          <w:sz w:val="24"/>
          <w:szCs w:val="24"/>
        </w:rPr>
        <w:t>antiofuscamento</w:t>
      </w:r>
      <w:proofErr w:type="spellEnd"/>
      <w:r w:rsidRPr="4FCC78E8">
        <w:rPr>
          <w:rFonts w:ascii="Calibri" w:eastAsia="Calibri" w:hAnsi="Calibri" w:cs="Calibri"/>
          <w:sz w:val="24"/>
          <w:szCs w:val="24"/>
        </w:rPr>
        <w:t xml:space="preserve"> eletrocrômico, tecnologia que reduz automaticamente o brilho intenso dos faróis de veículos que vêm atrás, evitando o ofuscamento da visão do motorista e garantindo maior segurança e conforto durante a condução noturna.</w:t>
      </w:r>
    </w:p>
    <w:p w14:paraId="3A92B88C" w14:textId="526B9D9D" w:rsidR="0875C976" w:rsidRDefault="0875C976" w:rsidP="4FCC78E8">
      <w:pPr>
        <w:spacing w:after="160" w:line="278" w:lineRule="auto"/>
        <w:jc w:val="both"/>
        <w:rPr>
          <w:rFonts w:ascii="Calibri" w:eastAsia="Calibri" w:hAnsi="Calibri" w:cs="Calibri"/>
          <w:b/>
          <w:bCs/>
          <w:sz w:val="24"/>
          <w:szCs w:val="24"/>
        </w:rPr>
      </w:pPr>
      <w:r w:rsidRPr="4FCC78E8">
        <w:rPr>
          <w:rFonts w:ascii="Calibri" w:eastAsia="Calibri" w:hAnsi="Calibri" w:cs="Calibri"/>
          <w:b/>
          <w:bCs/>
          <w:sz w:val="24"/>
          <w:szCs w:val="24"/>
        </w:rPr>
        <w:t>Eficiência e economia em todo o ciclo de uso do veículo</w:t>
      </w:r>
    </w:p>
    <w:p w14:paraId="00000021" w14:textId="77777777" w:rsidR="00064C0F" w:rsidRDefault="009D4270">
      <w:pPr>
        <w:spacing w:after="160" w:line="278" w:lineRule="auto"/>
        <w:jc w:val="both"/>
        <w:rPr>
          <w:rFonts w:ascii="Calibri" w:eastAsia="Calibri" w:hAnsi="Calibri" w:cs="Calibri"/>
          <w:sz w:val="24"/>
          <w:szCs w:val="24"/>
        </w:rPr>
      </w:pPr>
      <w:r w:rsidRPr="518D4A4E">
        <w:rPr>
          <w:rFonts w:ascii="Calibri" w:eastAsia="Calibri" w:hAnsi="Calibri" w:cs="Calibri"/>
          <w:sz w:val="24"/>
          <w:szCs w:val="24"/>
        </w:rPr>
        <w:lastRenderedPageBreak/>
        <w:t xml:space="preserve">O bZ4X reforça o compromisso da Toyota com a essência do </w:t>
      </w:r>
      <w:r w:rsidRPr="518D4A4E">
        <w:rPr>
          <w:rFonts w:ascii="Calibri" w:eastAsia="Calibri" w:hAnsi="Calibri" w:cs="Calibri"/>
          <w:i/>
          <w:iCs/>
          <w:sz w:val="24"/>
          <w:szCs w:val="24"/>
        </w:rPr>
        <w:t xml:space="preserve">Peace </w:t>
      </w:r>
      <w:proofErr w:type="spellStart"/>
      <w:r w:rsidRPr="518D4A4E">
        <w:rPr>
          <w:rFonts w:ascii="Calibri" w:eastAsia="Calibri" w:hAnsi="Calibri" w:cs="Calibri"/>
          <w:i/>
          <w:iCs/>
          <w:sz w:val="24"/>
          <w:szCs w:val="24"/>
        </w:rPr>
        <w:t>of</w:t>
      </w:r>
      <w:proofErr w:type="spellEnd"/>
      <w:r w:rsidRPr="518D4A4E">
        <w:rPr>
          <w:rFonts w:ascii="Calibri" w:eastAsia="Calibri" w:hAnsi="Calibri" w:cs="Calibri"/>
          <w:i/>
          <w:iCs/>
          <w:sz w:val="24"/>
          <w:szCs w:val="24"/>
        </w:rPr>
        <w:t xml:space="preserve"> Mind</w:t>
      </w:r>
      <w:r w:rsidRPr="518D4A4E">
        <w:rPr>
          <w:rFonts w:ascii="Calibri" w:eastAsia="Calibri" w:hAnsi="Calibri" w:cs="Calibri"/>
          <w:sz w:val="24"/>
          <w:szCs w:val="24"/>
        </w:rPr>
        <w:t>, traduzido na tranquilidade de ter um veículo com manutenção previsível e custos controlados ao longo do tempo. Por meio do programa Revisão na Medida, o cliente pode comprar antecipadamente as revisões periódicas de veículo, customizando um pacote de acordo com seu planejamento financeiro.</w:t>
      </w:r>
    </w:p>
    <w:p w14:paraId="00000023"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Os valores do programa Revisão na Medida para o bZ4X são os seguintes:</w:t>
      </w:r>
    </w:p>
    <w:p w14:paraId="37F844AC" w14:textId="685B7913"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00853F5C">
        <w:rPr>
          <w:rFonts w:ascii="Calibri" w:eastAsia="Calibri" w:hAnsi="Calibri" w:cs="Calibri"/>
          <w:sz w:val="24"/>
          <w:szCs w:val="24"/>
        </w:rPr>
        <w:t>10.000 km: R$ 8</w:t>
      </w:r>
      <w:r w:rsidR="00AB35CE">
        <w:rPr>
          <w:rFonts w:ascii="Calibri" w:eastAsia="Calibri" w:hAnsi="Calibri" w:cs="Calibri"/>
          <w:sz w:val="24"/>
          <w:szCs w:val="24"/>
        </w:rPr>
        <w:t>99</w:t>
      </w:r>
    </w:p>
    <w:p w14:paraId="4A6F3B99" w14:textId="4CC8AD93"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00853F5C">
        <w:rPr>
          <w:rFonts w:ascii="Calibri" w:eastAsia="Calibri" w:hAnsi="Calibri" w:cs="Calibri"/>
          <w:sz w:val="24"/>
          <w:szCs w:val="24"/>
        </w:rPr>
        <w:t>20.000 km: R$ 1.</w:t>
      </w:r>
      <w:r w:rsidR="00AB35CE">
        <w:rPr>
          <w:rFonts w:ascii="Calibri" w:eastAsia="Calibri" w:hAnsi="Calibri" w:cs="Calibri"/>
          <w:sz w:val="24"/>
          <w:szCs w:val="24"/>
        </w:rPr>
        <w:t>099</w:t>
      </w:r>
    </w:p>
    <w:p w14:paraId="284E3BF8" w14:textId="7604DB81"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00853F5C">
        <w:rPr>
          <w:rFonts w:ascii="Calibri" w:eastAsia="Calibri" w:hAnsi="Calibri" w:cs="Calibri"/>
          <w:sz w:val="24"/>
          <w:szCs w:val="24"/>
        </w:rPr>
        <w:t xml:space="preserve">30.000 km: R$ </w:t>
      </w:r>
      <w:r w:rsidR="00AB35CE" w:rsidRPr="00853F5C">
        <w:rPr>
          <w:rFonts w:ascii="Calibri" w:eastAsia="Calibri" w:hAnsi="Calibri" w:cs="Calibri"/>
          <w:sz w:val="24"/>
          <w:szCs w:val="24"/>
        </w:rPr>
        <w:t>1.</w:t>
      </w:r>
      <w:r w:rsidR="00AB35CE">
        <w:rPr>
          <w:rFonts w:ascii="Calibri" w:eastAsia="Calibri" w:hAnsi="Calibri" w:cs="Calibri"/>
          <w:sz w:val="24"/>
          <w:szCs w:val="24"/>
        </w:rPr>
        <w:t>099</w:t>
      </w:r>
    </w:p>
    <w:p w14:paraId="5C5F5556" w14:textId="67416E0A"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00853F5C">
        <w:rPr>
          <w:rFonts w:ascii="Calibri" w:eastAsia="Calibri" w:hAnsi="Calibri" w:cs="Calibri"/>
          <w:sz w:val="24"/>
          <w:szCs w:val="24"/>
        </w:rPr>
        <w:t xml:space="preserve">40.000 km: R$ </w:t>
      </w:r>
      <w:r w:rsidR="00AB35CE" w:rsidRPr="00853F5C">
        <w:rPr>
          <w:rFonts w:ascii="Calibri" w:eastAsia="Calibri" w:hAnsi="Calibri" w:cs="Calibri"/>
          <w:sz w:val="24"/>
          <w:szCs w:val="24"/>
        </w:rPr>
        <w:t>1.</w:t>
      </w:r>
      <w:r w:rsidR="00AB35CE">
        <w:rPr>
          <w:rFonts w:ascii="Calibri" w:eastAsia="Calibri" w:hAnsi="Calibri" w:cs="Calibri"/>
          <w:sz w:val="24"/>
          <w:szCs w:val="24"/>
        </w:rPr>
        <w:t>099</w:t>
      </w:r>
    </w:p>
    <w:p w14:paraId="50599F94" w14:textId="0892C7E9"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00853F5C">
        <w:rPr>
          <w:rFonts w:ascii="Calibri" w:eastAsia="Calibri" w:hAnsi="Calibri" w:cs="Calibri"/>
          <w:sz w:val="24"/>
          <w:szCs w:val="24"/>
        </w:rPr>
        <w:t xml:space="preserve">50.000 km: R$ </w:t>
      </w:r>
      <w:r w:rsidR="00AB35CE" w:rsidRPr="00853F5C">
        <w:rPr>
          <w:rFonts w:ascii="Calibri" w:eastAsia="Calibri" w:hAnsi="Calibri" w:cs="Calibri"/>
          <w:sz w:val="24"/>
          <w:szCs w:val="24"/>
        </w:rPr>
        <w:t>1.</w:t>
      </w:r>
      <w:r w:rsidR="00AB35CE">
        <w:rPr>
          <w:rFonts w:ascii="Calibri" w:eastAsia="Calibri" w:hAnsi="Calibri" w:cs="Calibri"/>
          <w:sz w:val="24"/>
          <w:szCs w:val="24"/>
        </w:rPr>
        <w:t>099</w:t>
      </w:r>
    </w:p>
    <w:p w14:paraId="194BDAB8" w14:textId="1D57434F" w:rsidR="00853F5C" w:rsidRPr="00853F5C" w:rsidRDefault="00853F5C" w:rsidP="00853F5C">
      <w:pPr>
        <w:pStyle w:val="PargrafodaLista"/>
        <w:numPr>
          <w:ilvl w:val="0"/>
          <w:numId w:val="6"/>
        </w:numPr>
        <w:spacing w:after="160" w:line="278" w:lineRule="auto"/>
        <w:jc w:val="both"/>
        <w:rPr>
          <w:rFonts w:ascii="Calibri" w:eastAsia="Calibri" w:hAnsi="Calibri" w:cs="Calibri"/>
          <w:sz w:val="24"/>
          <w:szCs w:val="24"/>
        </w:rPr>
      </w:pPr>
      <w:r w:rsidRPr="506318FD">
        <w:rPr>
          <w:rFonts w:ascii="Calibri" w:eastAsia="Calibri" w:hAnsi="Calibri" w:cs="Calibri"/>
          <w:sz w:val="24"/>
          <w:szCs w:val="24"/>
        </w:rPr>
        <w:t xml:space="preserve">60.000 km: </w:t>
      </w:r>
      <w:r w:rsidR="20AA876C" w:rsidRPr="506318FD">
        <w:rPr>
          <w:rFonts w:ascii="Calibri" w:eastAsia="Calibri" w:hAnsi="Calibri" w:cs="Calibri"/>
          <w:sz w:val="24"/>
          <w:szCs w:val="24"/>
        </w:rPr>
        <w:t xml:space="preserve">R$ </w:t>
      </w:r>
      <w:r w:rsidR="00AB35CE" w:rsidRPr="00853F5C">
        <w:rPr>
          <w:rFonts w:ascii="Calibri" w:eastAsia="Calibri" w:hAnsi="Calibri" w:cs="Calibri"/>
          <w:sz w:val="24"/>
          <w:szCs w:val="24"/>
        </w:rPr>
        <w:t>1.</w:t>
      </w:r>
      <w:r w:rsidR="00AB35CE">
        <w:rPr>
          <w:rFonts w:ascii="Calibri" w:eastAsia="Calibri" w:hAnsi="Calibri" w:cs="Calibri"/>
          <w:sz w:val="24"/>
          <w:szCs w:val="24"/>
        </w:rPr>
        <w:t>099</w:t>
      </w:r>
    </w:p>
    <w:p w14:paraId="4783DD7D" w14:textId="6F4B3618" w:rsidR="009D4270" w:rsidRDefault="009D4270" w:rsidP="506318FD">
      <w:pPr>
        <w:pBdr>
          <w:top w:val="nil"/>
          <w:left w:val="nil"/>
          <w:bottom w:val="nil"/>
          <w:right w:val="nil"/>
          <w:between w:val="nil"/>
        </w:pBdr>
        <w:spacing w:line="278" w:lineRule="auto"/>
        <w:jc w:val="both"/>
      </w:pPr>
      <w:r>
        <w:br/>
      </w:r>
      <w:r w:rsidRPr="506318FD">
        <w:rPr>
          <w:rFonts w:ascii="Calibri" w:eastAsia="Calibri" w:hAnsi="Calibri" w:cs="Calibri"/>
          <w:sz w:val="24"/>
          <w:szCs w:val="24"/>
        </w:rPr>
        <w:t>Essa proposta está alinhada ao DNA da marca, baseado em qualidade, durabilidade e confiabilidade, e faz parte de uma estratégia mais ampla de cadeia de valor, que considera não apenas o momento da compra, mas toda a jornada do cliente com o veículo. Além dos custos de revisão previsíveis, o modelo se destaca pelo baixo índice de manutenção, alto valor de revenda e ampla disponibilidade de peças, reforçando a competitividade no pós-venda.</w:t>
      </w:r>
    </w:p>
    <w:p w14:paraId="35869E49" w14:textId="0A97756C" w:rsidR="506318FD" w:rsidRDefault="506318FD" w:rsidP="506318FD">
      <w:pPr>
        <w:pBdr>
          <w:top w:val="nil"/>
          <w:left w:val="nil"/>
          <w:bottom w:val="nil"/>
          <w:right w:val="nil"/>
          <w:between w:val="nil"/>
        </w:pBdr>
        <w:spacing w:line="278" w:lineRule="auto"/>
        <w:jc w:val="both"/>
        <w:rPr>
          <w:rFonts w:ascii="Calibri" w:eastAsia="Calibri" w:hAnsi="Calibri" w:cs="Calibri"/>
          <w:sz w:val="24"/>
          <w:szCs w:val="24"/>
        </w:rPr>
      </w:pPr>
    </w:p>
    <w:p w14:paraId="36AFC2EE" w14:textId="3E894135" w:rsidR="4DAF3942" w:rsidRDefault="4DAF3942" w:rsidP="506318FD">
      <w:pPr>
        <w:spacing w:after="160" w:line="278" w:lineRule="auto"/>
        <w:jc w:val="both"/>
      </w:pPr>
      <w:r w:rsidRPr="506318FD">
        <w:rPr>
          <w:rFonts w:ascii="Calibri" w:eastAsia="Calibri" w:hAnsi="Calibri" w:cs="Calibri"/>
          <w:sz w:val="24"/>
          <w:szCs w:val="24"/>
        </w:rPr>
        <w:t>Como solução financeira, o Banco Toyota destaca o Ciclo Toyota, uma importante ferramenta de financiamento e fidelização de clientes. O programa oferece uma série de benefícios, incluindo o único produto da marca para veículos 100% elétricos com recompra garantida, proporcionando mais previsibilidade, conveniência e segurança ao consumidor.</w:t>
      </w:r>
    </w:p>
    <w:p w14:paraId="0000002B"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Esse conjunto de fatores está diretamente ligado ao conceito de </w:t>
      </w:r>
      <w:r>
        <w:rPr>
          <w:rFonts w:ascii="Calibri" w:eastAsia="Calibri" w:hAnsi="Calibri" w:cs="Calibri"/>
          <w:i/>
          <w:iCs/>
          <w:sz w:val="24"/>
          <w:szCs w:val="24"/>
        </w:rPr>
        <w:t xml:space="preserve">Total </w:t>
      </w:r>
      <w:proofErr w:type="spellStart"/>
      <w:r>
        <w:rPr>
          <w:rFonts w:ascii="Calibri" w:eastAsia="Calibri" w:hAnsi="Calibri" w:cs="Calibri"/>
          <w:i/>
          <w:iCs/>
          <w:sz w:val="24"/>
          <w:szCs w:val="24"/>
        </w:rPr>
        <w:t>Cost</w:t>
      </w:r>
      <w:proofErr w:type="spellEnd"/>
      <w:r>
        <w:rPr>
          <w:rFonts w:ascii="Calibri" w:eastAsia="Calibri" w:hAnsi="Calibri" w:cs="Calibri"/>
          <w:i/>
          <w:iCs/>
          <w:sz w:val="24"/>
          <w:szCs w:val="24"/>
        </w:rPr>
        <w:t xml:space="preserve"> </w:t>
      </w:r>
      <w:proofErr w:type="spellStart"/>
      <w:r>
        <w:rPr>
          <w:rFonts w:ascii="Calibri" w:eastAsia="Calibri" w:hAnsi="Calibri" w:cs="Calibri"/>
          <w:i/>
          <w:iCs/>
          <w:sz w:val="24"/>
          <w:szCs w:val="24"/>
        </w:rPr>
        <w:t>of</w:t>
      </w:r>
      <w:proofErr w:type="spellEnd"/>
      <w:r>
        <w:rPr>
          <w:rFonts w:ascii="Calibri" w:eastAsia="Calibri" w:hAnsi="Calibri" w:cs="Calibri"/>
          <w:i/>
          <w:iCs/>
          <w:sz w:val="24"/>
          <w:szCs w:val="24"/>
        </w:rPr>
        <w:t xml:space="preserve"> </w:t>
      </w:r>
      <w:proofErr w:type="spellStart"/>
      <w:r>
        <w:rPr>
          <w:rFonts w:ascii="Calibri" w:eastAsia="Calibri" w:hAnsi="Calibri" w:cs="Calibri"/>
          <w:i/>
          <w:iCs/>
          <w:sz w:val="24"/>
          <w:szCs w:val="24"/>
        </w:rPr>
        <w:t>Ownership</w:t>
      </w:r>
      <w:proofErr w:type="spellEnd"/>
      <w:r>
        <w:rPr>
          <w:rFonts w:ascii="Calibri" w:eastAsia="Calibri" w:hAnsi="Calibri" w:cs="Calibri"/>
          <w:sz w:val="24"/>
          <w:szCs w:val="24"/>
        </w:rPr>
        <w:t xml:space="preserve"> (TCO), que considera o custo total de propriedade ao longo do tempo, incluindo aquisição, manutenção, consumo de combustível, seguro e desvalorização. O resultado é uma proposta que combina eficiência, confiabilidade e economia em toda a experiência com o produto.</w:t>
      </w:r>
    </w:p>
    <w:p w14:paraId="0000002C" w14:textId="77777777" w:rsidR="00064C0F" w:rsidRDefault="009D4270">
      <w:pPr>
        <w:spacing w:after="160" w:line="278" w:lineRule="auto"/>
        <w:jc w:val="both"/>
        <w:rPr>
          <w:rFonts w:ascii="Calibri" w:eastAsia="Calibri" w:hAnsi="Calibri" w:cs="Calibri"/>
          <w:b/>
          <w:bCs/>
          <w:sz w:val="24"/>
          <w:szCs w:val="24"/>
        </w:rPr>
      </w:pPr>
      <w:r>
        <w:rPr>
          <w:rFonts w:ascii="Calibri" w:eastAsia="Calibri" w:hAnsi="Calibri" w:cs="Calibri"/>
          <w:b/>
          <w:bCs/>
          <w:sz w:val="24"/>
          <w:szCs w:val="24"/>
        </w:rPr>
        <w:t>Soluções de mobilidade KINTO</w:t>
      </w:r>
    </w:p>
    <w:p w14:paraId="0000002D"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Desde o lançamento, a KINTO, empresa especializada em soluções de mobilidade da Toyota, oferecerá serviços de locação do bZ4X, reforçando seu posicionamento estratégico de oferecer serviços que atendam às mais diversas necessidades de mobilidade dos clientes.</w:t>
      </w:r>
    </w:p>
    <w:p w14:paraId="0000002E" w14:textId="77777777" w:rsidR="00064C0F" w:rsidRDefault="009D4270">
      <w:pPr>
        <w:spacing w:after="160" w:line="278" w:lineRule="auto"/>
        <w:jc w:val="both"/>
        <w:rPr>
          <w:rFonts w:ascii="Calibri" w:eastAsia="Calibri" w:hAnsi="Calibri" w:cs="Calibri"/>
          <w:sz w:val="24"/>
          <w:szCs w:val="24"/>
        </w:rPr>
      </w:pPr>
      <w:r>
        <w:rPr>
          <w:rFonts w:ascii="Calibri" w:eastAsia="Calibri" w:hAnsi="Calibri" w:cs="Calibri"/>
          <w:sz w:val="24"/>
          <w:szCs w:val="24"/>
        </w:rPr>
        <w:t xml:space="preserve">Frotistas poderão adquirir o modelo por meio da modalidade KINTO </w:t>
      </w:r>
      <w:proofErr w:type="spellStart"/>
      <w:r>
        <w:rPr>
          <w:rFonts w:ascii="Calibri" w:eastAsia="Calibri" w:hAnsi="Calibri" w:cs="Calibri"/>
          <w:sz w:val="24"/>
          <w:szCs w:val="24"/>
        </w:rPr>
        <w:t>One</w:t>
      </w:r>
      <w:proofErr w:type="spellEnd"/>
      <w:r>
        <w:rPr>
          <w:rFonts w:ascii="Calibri" w:eastAsia="Calibri" w:hAnsi="Calibri" w:cs="Calibri"/>
          <w:sz w:val="24"/>
          <w:szCs w:val="24"/>
        </w:rPr>
        <w:t xml:space="preserve"> Fleet, que oferece uma solução completa de terceirização de frotas para empresas de diferentes perfis e setores de atuação. O bZ4X também estará disponível para pessoas físicas por meio do KINTO </w:t>
      </w:r>
      <w:proofErr w:type="spellStart"/>
      <w:r>
        <w:rPr>
          <w:rFonts w:ascii="Calibri" w:eastAsia="Calibri" w:hAnsi="Calibri" w:cs="Calibri"/>
          <w:sz w:val="24"/>
          <w:szCs w:val="24"/>
        </w:rPr>
        <w:t>One</w:t>
      </w:r>
      <w:proofErr w:type="spellEnd"/>
      <w:r>
        <w:rPr>
          <w:rFonts w:ascii="Calibri" w:eastAsia="Calibri" w:hAnsi="Calibri" w:cs="Calibri"/>
          <w:sz w:val="24"/>
          <w:szCs w:val="24"/>
        </w:rPr>
        <w:t xml:space="preserve"> Personal, com assinaturas práticas e completas para uso no dia a dia.</w:t>
      </w:r>
    </w:p>
    <w:p w14:paraId="0000002F" w14:textId="77777777" w:rsidR="00064C0F" w:rsidRDefault="009D4270">
      <w:pPr>
        <w:spacing w:after="160" w:line="278" w:lineRule="auto"/>
        <w:jc w:val="both"/>
        <w:rPr>
          <w:rFonts w:ascii="Calibri" w:eastAsia="Calibri" w:hAnsi="Calibri" w:cs="Calibri"/>
          <w:b/>
          <w:bCs/>
          <w:sz w:val="24"/>
          <w:szCs w:val="24"/>
        </w:rPr>
      </w:pPr>
      <w:r>
        <w:rPr>
          <w:rFonts w:ascii="Calibri" w:eastAsia="Calibri" w:hAnsi="Calibri" w:cs="Calibri"/>
          <w:b/>
          <w:bCs/>
          <w:sz w:val="24"/>
          <w:szCs w:val="24"/>
        </w:rPr>
        <w:t>Preço:</w:t>
      </w:r>
    </w:p>
    <w:p w14:paraId="00000030" w14:textId="77777777" w:rsidR="00064C0F" w:rsidRDefault="009D4270">
      <w:pPr>
        <w:numPr>
          <w:ilvl w:val="0"/>
          <w:numId w:val="4"/>
        </w:numPr>
        <w:pBdr>
          <w:top w:val="nil"/>
          <w:left w:val="nil"/>
          <w:bottom w:val="nil"/>
          <w:right w:val="nil"/>
          <w:between w:val="nil"/>
        </w:pBdr>
        <w:spacing w:line="278" w:lineRule="auto"/>
        <w:jc w:val="both"/>
        <w:rPr>
          <w:rFonts w:ascii="Calibri" w:eastAsia="Calibri" w:hAnsi="Calibri" w:cs="Calibri"/>
          <w:color w:val="000000"/>
          <w:sz w:val="24"/>
          <w:szCs w:val="24"/>
        </w:rPr>
      </w:pPr>
      <w:r>
        <w:rPr>
          <w:rFonts w:ascii="Calibri" w:eastAsia="Calibri" w:hAnsi="Calibri" w:cs="Calibri"/>
          <w:sz w:val="24"/>
          <w:szCs w:val="24"/>
        </w:rPr>
        <w:lastRenderedPageBreak/>
        <w:t>bZ4X</w:t>
      </w:r>
      <w:r>
        <w:rPr>
          <w:rFonts w:ascii="Calibri" w:eastAsia="Calibri" w:hAnsi="Calibri" w:cs="Calibri"/>
          <w:color w:val="000000"/>
          <w:sz w:val="24"/>
          <w:szCs w:val="24"/>
        </w:rPr>
        <w:t xml:space="preserve"> – </w:t>
      </w:r>
      <w:r>
        <w:rPr>
          <w:rFonts w:ascii="Calibri" w:eastAsia="Calibri" w:hAnsi="Calibri" w:cs="Calibri"/>
          <w:sz w:val="24"/>
          <w:szCs w:val="24"/>
        </w:rPr>
        <w:t>R$ 419.990</w:t>
      </w:r>
    </w:p>
    <w:p w14:paraId="00000031" w14:textId="77777777" w:rsidR="00064C0F" w:rsidRDefault="00064C0F">
      <w:pPr>
        <w:spacing w:after="160" w:line="278" w:lineRule="auto"/>
        <w:jc w:val="both"/>
        <w:rPr>
          <w:rFonts w:ascii="Calibri" w:eastAsia="Calibri" w:hAnsi="Calibri" w:cs="Calibri"/>
          <w:sz w:val="24"/>
          <w:szCs w:val="24"/>
          <w:highlight w:val="yellow"/>
        </w:rPr>
      </w:pPr>
    </w:p>
    <w:p w14:paraId="00000032" w14:textId="77777777" w:rsidR="00064C0F" w:rsidRDefault="009D4270">
      <w:pPr>
        <w:shd w:val="clear" w:color="auto" w:fill="FFFFFF"/>
        <w:spacing w:line="278" w:lineRule="auto"/>
        <w:rPr>
          <w:rFonts w:ascii="Calibri" w:eastAsia="Calibri" w:hAnsi="Calibri" w:cs="Calibri"/>
          <w:b/>
          <w:bCs/>
          <w:sz w:val="24"/>
          <w:szCs w:val="24"/>
        </w:rPr>
      </w:pPr>
      <w:r>
        <w:rPr>
          <w:rFonts w:ascii="Calibri" w:eastAsia="Calibri" w:hAnsi="Calibri" w:cs="Calibri"/>
          <w:b/>
          <w:bCs/>
          <w:sz w:val="24"/>
          <w:szCs w:val="24"/>
        </w:rPr>
        <w:t>Sobre a Toyota do Brasil</w:t>
      </w:r>
    </w:p>
    <w:p w14:paraId="00000033" w14:textId="77777777" w:rsidR="00064C0F" w:rsidRDefault="009D4270">
      <w:pPr>
        <w:shd w:val="clear" w:color="auto" w:fill="FFFFFF"/>
        <w:spacing w:line="278" w:lineRule="auto"/>
        <w:jc w:val="both"/>
        <w:rPr>
          <w:rFonts w:ascii="Calibri" w:eastAsia="Calibri" w:hAnsi="Calibri" w:cs="Calibri"/>
          <w:i/>
          <w:iCs/>
          <w:color w:val="FF0000"/>
          <w:sz w:val="24"/>
          <w:szCs w:val="24"/>
        </w:rPr>
      </w:pPr>
      <w:r>
        <w:rPr>
          <w:rFonts w:ascii="Calibri" w:eastAsia="Calibri" w:hAnsi="Calibri" w:cs="Calibri"/>
          <w:i/>
          <w:iCs/>
          <w:sz w:val="24"/>
          <w:szCs w:val="24"/>
        </w:rPr>
        <w:t>A Toyota tem como missão produzir felicidade para todas as pessoas (“</w:t>
      </w:r>
      <w:proofErr w:type="spellStart"/>
      <w:r>
        <w:rPr>
          <w:rFonts w:ascii="Calibri" w:eastAsia="Calibri" w:hAnsi="Calibri" w:cs="Calibri"/>
          <w:i/>
          <w:iCs/>
          <w:sz w:val="24"/>
          <w:szCs w:val="24"/>
        </w:rPr>
        <w:t>Happiness</w:t>
      </w:r>
      <w:proofErr w:type="spellEnd"/>
      <w:r>
        <w:rPr>
          <w:rFonts w:ascii="Calibri" w:eastAsia="Calibri" w:hAnsi="Calibri" w:cs="Calibri"/>
          <w:i/>
          <w:iCs/>
          <w:sz w:val="24"/>
          <w:szCs w:val="24"/>
        </w:rPr>
        <w:t xml:space="preserve"> for </w:t>
      </w:r>
      <w:proofErr w:type="spellStart"/>
      <w:r>
        <w:rPr>
          <w:rFonts w:ascii="Calibri" w:eastAsia="Calibri" w:hAnsi="Calibri" w:cs="Calibri"/>
          <w:i/>
          <w:iCs/>
          <w:sz w:val="24"/>
          <w:szCs w:val="24"/>
        </w:rPr>
        <w:t>All</w:t>
      </w:r>
      <w:proofErr w:type="spellEnd"/>
      <w:r>
        <w:rPr>
          <w:rFonts w:ascii="Calibri" w:eastAsia="Calibri" w:hAnsi="Calibri" w:cs="Calibri"/>
          <w:i/>
          <w:iCs/>
          <w:sz w:val="24"/>
          <w:szCs w:val="24"/>
        </w:rPr>
        <w:t xml:space="preserve">”) e, para isso, está comprometida em desenvolver carros cada vez melhores e mais seguros, além de avançar em soluções de mobilidade sustentável. Presente no Brasil há 68 anos, a empresa conta com três unidades produtivas e emprega 6,7 mil pessoas no País. Com mais de 30 milhões de automóveis híbridos, híbridos </w:t>
      </w:r>
      <w:proofErr w:type="spellStart"/>
      <w:r>
        <w:rPr>
          <w:rFonts w:ascii="Calibri" w:eastAsia="Calibri" w:hAnsi="Calibri" w:cs="Calibri"/>
          <w:i/>
          <w:iCs/>
          <w:sz w:val="24"/>
          <w:szCs w:val="24"/>
        </w:rPr>
        <w:t>flex</w:t>
      </w:r>
      <w:proofErr w:type="spellEnd"/>
      <w:r>
        <w:rPr>
          <w:rFonts w:ascii="Calibri" w:eastAsia="Calibri" w:hAnsi="Calibri" w:cs="Calibri"/>
          <w:i/>
          <w:iCs/>
          <w:sz w:val="24"/>
          <w:szCs w:val="24"/>
        </w:rPr>
        <w:t>, híbridos plug-in, 100% a bateria ou movidos a hidrogênio comercializados no mundo desde 1997, a empresa é a líder global em eletrificação. No Brasil, inovou com o lançamento do Corolla Híbrido Flex em 2019, primeiro veículo híbrido com motor </w:t>
      </w:r>
      <w:proofErr w:type="spellStart"/>
      <w:r>
        <w:rPr>
          <w:rFonts w:ascii="Calibri" w:eastAsia="Calibri" w:hAnsi="Calibri" w:cs="Calibri"/>
          <w:i/>
          <w:iCs/>
          <w:sz w:val="24"/>
          <w:szCs w:val="24"/>
        </w:rPr>
        <w:t>flex</w:t>
      </w:r>
      <w:proofErr w:type="spellEnd"/>
      <w:r>
        <w:rPr>
          <w:rFonts w:ascii="Calibri" w:eastAsia="Calibri" w:hAnsi="Calibri" w:cs="Calibri"/>
          <w:i/>
          <w:iCs/>
          <w:sz w:val="24"/>
          <w:szCs w:val="24"/>
        </w:rPr>
        <w:t> do mundo e primeiro produzido no País.</w:t>
      </w:r>
      <w:r>
        <w:rPr>
          <w:rFonts w:ascii="Calibri" w:eastAsia="Calibri" w:hAnsi="Calibri" w:cs="Calibri"/>
          <w:i/>
          <w:iCs/>
          <w:color w:val="FF0000"/>
          <w:sz w:val="24"/>
          <w:szCs w:val="24"/>
        </w:rPr>
        <w:t xml:space="preserve"> </w:t>
      </w:r>
    </w:p>
    <w:p w14:paraId="00000034" w14:textId="77777777" w:rsidR="00064C0F" w:rsidRDefault="009D4270">
      <w:pPr>
        <w:shd w:val="clear" w:color="auto" w:fill="FFFFFF"/>
        <w:spacing w:line="278" w:lineRule="auto"/>
        <w:rPr>
          <w:rFonts w:ascii="Calibri" w:eastAsia="Calibri" w:hAnsi="Calibri" w:cs="Calibri"/>
          <w:b/>
          <w:bCs/>
          <w:sz w:val="24"/>
          <w:szCs w:val="24"/>
        </w:rPr>
      </w:pPr>
      <w:r>
        <w:rPr>
          <w:i/>
          <w:iCs/>
          <w:sz w:val="20"/>
          <w:szCs w:val="20"/>
        </w:rPr>
        <w:br/>
      </w:r>
      <w:r>
        <w:rPr>
          <w:rFonts w:ascii="Calibri" w:eastAsia="Calibri" w:hAnsi="Calibri" w:cs="Calibri"/>
          <w:b/>
          <w:bCs/>
          <w:sz w:val="24"/>
          <w:szCs w:val="24"/>
        </w:rPr>
        <w:t>Mais informações</w:t>
      </w:r>
    </w:p>
    <w:p w14:paraId="548D0A82" w14:textId="46A0D878" w:rsidR="004379C7" w:rsidRDefault="009D4270">
      <w:pPr>
        <w:shd w:val="clear" w:color="auto" w:fill="FFFFFF"/>
        <w:spacing w:line="278" w:lineRule="auto"/>
        <w:rPr>
          <w:rFonts w:ascii="Calibri" w:eastAsia="Calibri" w:hAnsi="Calibri" w:cs="Calibri"/>
          <w:sz w:val="24"/>
          <w:szCs w:val="24"/>
        </w:rPr>
      </w:pPr>
      <w:r>
        <w:rPr>
          <w:rFonts w:ascii="Calibri" w:eastAsia="Calibri" w:hAnsi="Calibri" w:cs="Calibri"/>
          <w:b/>
          <w:bCs/>
          <w:sz w:val="24"/>
          <w:szCs w:val="24"/>
        </w:rPr>
        <w:t>Toyota do Brasil – Departamento de Comunicação</w:t>
      </w:r>
      <w:r>
        <w:rPr>
          <w:rFonts w:ascii="Calibri" w:eastAsia="Calibri" w:hAnsi="Calibri" w:cs="Calibri"/>
          <w:color w:val="1155CC"/>
          <w:sz w:val="24"/>
          <w:szCs w:val="24"/>
          <w:u w:val="single"/>
        </w:rPr>
        <w:br/>
      </w:r>
      <w:r w:rsidR="004379C7">
        <w:rPr>
          <w:rFonts w:ascii="Calibri" w:eastAsia="Calibri" w:hAnsi="Calibri" w:cs="Calibri"/>
          <w:sz w:val="24"/>
          <w:szCs w:val="24"/>
        </w:rPr>
        <w:t>Belisa Frangione -</w:t>
      </w:r>
      <w:r w:rsidR="006040CC">
        <w:rPr>
          <w:rFonts w:ascii="Calibri" w:eastAsia="Calibri" w:hAnsi="Calibri" w:cs="Calibri"/>
          <w:sz w:val="24"/>
          <w:szCs w:val="24"/>
        </w:rPr>
        <w:t xml:space="preserve"> </w:t>
      </w:r>
      <w:r w:rsidR="006040CC">
        <w:rPr>
          <w:rFonts w:ascii="Calibri" w:eastAsia="Calibri" w:hAnsi="Calibri" w:cs="Calibri"/>
          <w:color w:val="1155CC"/>
          <w:sz w:val="24"/>
          <w:szCs w:val="24"/>
          <w:u w:val="single"/>
        </w:rPr>
        <w:t>belisa.vieira@toyota.com.br</w:t>
      </w:r>
    </w:p>
    <w:p w14:paraId="00000035" w14:textId="6A40D735" w:rsidR="00064C0F" w:rsidRPr="00AB35CE" w:rsidRDefault="009D4270">
      <w:pPr>
        <w:shd w:val="clear" w:color="auto" w:fill="FFFFFF"/>
        <w:spacing w:line="278" w:lineRule="auto"/>
        <w:rPr>
          <w:rFonts w:ascii="Calibri" w:eastAsia="Calibri" w:hAnsi="Calibri" w:cs="Calibri"/>
          <w:b/>
          <w:sz w:val="24"/>
          <w:szCs w:val="24"/>
          <w:lang w:val="en-US"/>
        </w:rPr>
      </w:pPr>
      <w:r w:rsidRPr="00AB35CE">
        <w:rPr>
          <w:rFonts w:ascii="Calibri" w:eastAsia="Calibri" w:hAnsi="Calibri" w:cs="Calibri"/>
          <w:sz w:val="24"/>
          <w:szCs w:val="24"/>
          <w:lang w:val="en-US"/>
        </w:rPr>
        <w:t>Gabriela Dallacqua –</w:t>
      </w:r>
      <w:r w:rsidRPr="00AB35CE">
        <w:rPr>
          <w:rFonts w:ascii="Calibri" w:eastAsia="Calibri" w:hAnsi="Calibri" w:cs="Calibri"/>
          <w:color w:val="222222"/>
          <w:sz w:val="24"/>
          <w:szCs w:val="24"/>
          <w:lang w:val="en-US"/>
        </w:rPr>
        <w:t xml:space="preserve"> </w:t>
      </w:r>
      <w:r w:rsidRPr="00AB35CE">
        <w:rPr>
          <w:rFonts w:ascii="Calibri" w:eastAsia="Calibri" w:hAnsi="Calibri" w:cs="Calibri"/>
          <w:color w:val="1155CC"/>
          <w:sz w:val="24"/>
          <w:szCs w:val="24"/>
          <w:u w:val="single"/>
          <w:lang w:val="en-US"/>
        </w:rPr>
        <w:t>gabriela.lello@toyota.com.br</w:t>
      </w:r>
    </w:p>
    <w:p w14:paraId="00000036" w14:textId="77777777" w:rsidR="00064C0F" w:rsidRPr="00AB35CE" w:rsidRDefault="009D4270">
      <w:pPr>
        <w:shd w:val="clear" w:color="auto" w:fill="FFFFFF"/>
        <w:spacing w:line="278" w:lineRule="auto"/>
        <w:rPr>
          <w:rFonts w:ascii="Calibri" w:eastAsia="Calibri" w:hAnsi="Calibri" w:cs="Calibri"/>
          <w:b/>
          <w:sz w:val="24"/>
          <w:szCs w:val="24"/>
          <w:lang w:val="en-US"/>
        </w:rPr>
      </w:pPr>
      <w:r w:rsidRPr="00AB35CE">
        <w:rPr>
          <w:rFonts w:ascii="Calibri" w:eastAsia="Calibri" w:hAnsi="Calibri" w:cs="Calibri"/>
          <w:color w:val="1155CC"/>
          <w:sz w:val="24"/>
          <w:szCs w:val="24"/>
          <w:u w:val="single"/>
          <w:lang w:val="en-US"/>
        </w:rPr>
        <w:br/>
      </w:r>
      <w:r w:rsidRPr="00AB35CE">
        <w:rPr>
          <w:rFonts w:ascii="Calibri" w:eastAsia="Calibri" w:hAnsi="Calibri" w:cs="Calibri"/>
          <w:b/>
          <w:sz w:val="24"/>
          <w:szCs w:val="24"/>
          <w:lang w:val="en-US"/>
        </w:rPr>
        <w:t>Giusti Creative PR</w:t>
      </w:r>
      <w:r w:rsidRPr="00AB35CE">
        <w:rPr>
          <w:rFonts w:ascii="Calibri" w:eastAsia="Calibri" w:hAnsi="Calibri" w:cs="Calibri"/>
          <w:b/>
          <w:sz w:val="24"/>
          <w:szCs w:val="24"/>
          <w:lang w:val="en-US"/>
        </w:rPr>
        <w:br/>
      </w:r>
      <w:r w:rsidRPr="00AB35CE">
        <w:rPr>
          <w:rFonts w:ascii="Calibri" w:eastAsia="Calibri" w:hAnsi="Calibri" w:cs="Calibri"/>
          <w:color w:val="1155CC"/>
          <w:sz w:val="24"/>
          <w:szCs w:val="24"/>
          <w:u w:val="single"/>
          <w:lang w:val="en-US"/>
        </w:rPr>
        <w:t>toyota@giusticom.com.br</w:t>
      </w:r>
      <w:r w:rsidRPr="00AB35CE">
        <w:rPr>
          <w:rFonts w:ascii="Calibri" w:eastAsia="Calibri" w:hAnsi="Calibri" w:cs="Calibri"/>
          <w:sz w:val="24"/>
          <w:szCs w:val="24"/>
          <w:lang w:val="en-US"/>
        </w:rPr>
        <w:t xml:space="preserve"> </w:t>
      </w:r>
    </w:p>
    <w:sectPr w:rsidR="00064C0F" w:rsidRPr="00AB35CE">
      <w:headerReference w:type="even" r:id="rId9"/>
      <w:headerReference w:type="default" r:id="rId10"/>
      <w:headerReference w:type="first" r:id="rId1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D31FA2" w14:textId="77777777" w:rsidR="00F410EC" w:rsidRDefault="00F410EC">
      <w:pPr>
        <w:spacing w:line="240" w:lineRule="auto"/>
      </w:pPr>
      <w:r>
        <w:separator/>
      </w:r>
    </w:p>
  </w:endnote>
  <w:endnote w:type="continuationSeparator" w:id="0">
    <w:p w14:paraId="2C01AF5D" w14:textId="77777777" w:rsidR="00F410EC" w:rsidRDefault="00F410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54A352C-1354-4488-8041-39EA8B39F45F}"/>
    <w:embedBold r:id="rId2" w:fontKey="{3511E858-9D87-4AA8-9559-60D6C6BE3148}"/>
    <w:embedItalic r:id="rId3" w:fontKey="{E6F92DD8-97EB-46AF-928B-A8ADA824FDAB}"/>
  </w:font>
  <w:font w:name="Aptos">
    <w:charset w:val="00"/>
    <w:family w:val="swiss"/>
    <w:pitch w:val="variable"/>
    <w:sig w:usb0="20000287" w:usb1="00000003" w:usb2="00000000" w:usb3="00000000" w:csb0="0000019F" w:csb1="00000000"/>
    <w:embedRegular r:id="rId4" w:fontKey="{614F6B73-421A-425A-8547-408DF5C554A6}"/>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5" w:fontKey="{2ABA6F47-5489-4FEC-B608-A5FDC9127F1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6E8BD" w14:textId="77777777" w:rsidR="00F410EC" w:rsidRDefault="00F410EC">
      <w:pPr>
        <w:spacing w:line="240" w:lineRule="auto"/>
      </w:pPr>
      <w:r>
        <w:separator/>
      </w:r>
    </w:p>
  </w:footnote>
  <w:footnote w:type="continuationSeparator" w:id="0">
    <w:p w14:paraId="2F6E33E6" w14:textId="77777777" w:rsidR="00F410EC" w:rsidRDefault="00F410E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37" w14:textId="77777777" w:rsidR="00064C0F" w:rsidRDefault="009D4270">
    <w:pPr>
      <w:pBdr>
        <w:top w:val="nil"/>
        <w:left w:val="nil"/>
        <w:bottom w:val="nil"/>
        <w:right w:val="nil"/>
        <w:between w:val="nil"/>
      </w:pBdr>
      <w:tabs>
        <w:tab w:val="center" w:pos="4252"/>
        <w:tab w:val="right" w:pos="8504"/>
      </w:tabs>
      <w:spacing w:line="240" w:lineRule="auto"/>
      <w:rPr>
        <w:color w:val="000000"/>
      </w:rPr>
    </w:pPr>
    <w:r>
      <w:rPr>
        <w:noProof/>
        <w:color w:val="000000"/>
      </w:rPr>
      <mc:AlternateContent>
        <mc:Choice Requires="wps">
          <w:drawing>
            <wp:anchor distT="0" distB="0" distL="0" distR="0" simplePos="0" relativeHeight="251658242" behindDoc="0" locked="0" layoutInCell="1" hidden="0" allowOverlap="1" wp14:anchorId="5B690A14" wp14:editId="67B4813F">
              <wp:simplePos x="0" y="0"/>
              <wp:positionH relativeFrom="page">
                <wp:align>center</wp:align>
              </wp:positionH>
              <wp:positionV relativeFrom="page">
                <wp:align>top</wp:align>
              </wp:positionV>
              <wp:extent cx="1496695" cy="389255"/>
              <wp:effectExtent l="0" t="0" r="0" b="0"/>
              <wp:wrapNone/>
              <wp:docPr id="3" name="Retângulo 3" descr="•• PROTECTED 関係者外秘"/>
              <wp:cNvGraphicFramePr/>
              <a:graphic xmlns:a="http://schemas.openxmlformats.org/drawingml/2006/main">
                <a:graphicData uri="http://schemas.microsoft.com/office/word/2010/wordprocessingShape">
                  <wps:wsp>
                    <wps:cNvSpPr/>
                    <wps:spPr>
                      <a:xfrm>
                        <a:off x="4602415" y="3590135"/>
                        <a:ext cx="1487170" cy="379730"/>
                      </a:xfrm>
                      <a:prstGeom prst="rect">
                        <a:avLst/>
                      </a:prstGeom>
                      <a:noFill/>
                      <a:ln>
                        <a:noFill/>
                      </a:ln>
                    </wps:spPr>
                    <wps:txbx>
                      <w:txbxContent>
                        <w:p w14:paraId="2641C589"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wps:txbx>
                    <wps:bodyPr spcFirstLastPara="1" wrap="square" lIns="0" tIns="190500" rIns="0" bIns="0" anchor="t" anchorCtr="0">
                      <a:noAutofit/>
                    </wps:bodyPr>
                  </wps:wsp>
                </a:graphicData>
              </a:graphic>
            </wp:anchor>
          </w:drawing>
        </mc:Choice>
        <mc:Fallback>
          <w:pict>
            <v:rect w14:anchorId="5B690A14" id="Retângulo 3" o:spid="_x0000_s1026" alt="•• PROTECTED 関係者外秘" style="position:absolute;margin-left:0;margin-top:0;width:117.85pt;height:30.65pt;z-index:251658242;visibility:visible;mso-wrap-style:squar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" filled="f" stroked="f">
              <v:textbox inset="0,15pt,0,0">
                <w:txbxContent>
                  <w:p w14:paraId="2641C589"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38" w14:textId="77777777" w:rsidR="00064C0F" w:rsidRDefault="009D4270">
    <w:pPr>
      <w:jc w:val="right"/>
    </w:pPr>
    <w:r>
      <w:rPr>
        <w:rFonts w:ascii="Calibri" w:eastAsia="Calibri" w:hAnsi="Calibri" w:cs="Calibri"/>
        <w:b/>
        <w:bCs/>
        <w:noProof/>
        <w:sz w:val="32"/>
        <w:szCs w:val="32"/>
      </w:rPr>
      <mc:AlternateContent>
        <mc:Choice Requires="wps">
          <w:drawing>
            <wp:anchor distT="0" distB="0" distL="0" distR="0" simplePos="0" relativeHeight="251658240" behindDoc="0" locked="0" layoutInCell="1" hidden="0" allowOverlap="1" wp14:anchorId="12CF41E1" wp14:editId="341F0F1C">
              <wp:simplePos x="0" y="0"/>
              <wp:positionH relativeFrom="page">
                <wp:align>center</wp:align>
              </wp:positionH>
              <wp:positionV relativeFrom="page">
                <wp:align>top</wp:align>
              </wp:positionV>
              <wp:extent cx="1496695" cy="389255"/>
              <wp:effectExtent l="0" t="0" r="0" b="0"/>
              <wp:wrapNone/>
              <wp:docPr id="1" name="Retângulo 1" descr="•• PROTECTED 関係者外秘"/>
              <wp:cNvGraphicFramePr/>
              <a:graphic xmlns:a="http://schemas.openxmlformats.org/drawingml/2006/main">
                <a:graphicData uri="http://schemas.microsoft.com/office/word/2010/wordprocessingShape">
                  <wps:wsp>
                    <wps:cNvSpPr/>
                    <wps:spPr>
                      <a:xfrm>
                        <a:off x="4602415" y="3590135"/>
                        <a:ext cx="1487170" cy="379730"/>
                      </a:xfrm>
                      <a:prstGeom prst="rect">
                        <a:avLst/>
                      </a:prstGeom>
                      <a:noFill/>
                      <a:ln>
                        <a:noFill/>
                      </a:ln>
                    </wps:spPr>
                    <wps:txbx>
                      <w:txbxContent>
                        <w:p w14:paraId="10E98825"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wps:txbx>
                    <wps:bodyPr spcFirstLastPara="1" wrap="square" lIns="0" tIns="190500" rIns="0" bIns="0" anchor="t" anchorCtr="0">
                      <a:noAutofit/>
                    </wps:bodyPr>
                  </wps:wsp>
                </a:graphicData>
              </a:graphic>
            </wp:anchor>
          </w:drawing>
        </mc:Choice>
        <mc:Fallback>
          <w:pict>
            <v:rect w14:anchorId="12CF41E1" id="Retângulo 1" o:spid="_x0000_s1027" alt="•• PROTECTED 関係者外秘" style="position:absolute;left:0;text-align:left;margin-left:0;margin-top:0;width:117.85pt;height:30.65pt;z-index:251658240;visibility:visible;mso-wrap-style:squar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" filled="f" stroked="f">
              <v:textbox inset="0,15pt,0,0">
                <w:txbxContent>
                  <w:p w14:paraId="10E98825"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v:textbox>
              <w10:wrap anchorx="page" anchory="page"/>
            </v:rect>
          </w:pict>
        </mc:Fallback>
      </mc:AlternateContent>
    </w:r>
    <w:r>
      <w:rPr>
        <w:rFonts w:ascii="Calibri" w:eastAsia="Calibri" w:hAnsi="Calibri" w:cs="Calibri"/>
        <w:b/>
        <w:bCs/>
        <w:noProof/>
        <w:sz w:val="32"/>
        <w:szCs w:val="32"/>
      </w:rPr>
      <w:drawing>
        <wp:inline distT="19050" distB="19050" distL="19050" distR="19050" wp14:anchorId="26936BC2" wp14:editId="0099A901">
          <wp:extent cx="1168047" cy="546100"/>
          <wp:effectExtent l="0" t="0" r="0" b="0"/>
          <wp:docPr id="4" name="image1.png" descr="Logotipo, nome da empres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png" descr="Logotipo, nome da empresa&#10;&#10;Descrição gerada automaticamente"/>
                  <pic:cNvPicPr preferRelativeResize="0"/>
                </pic:nvPicPr>
                <pic:blipFill>
                  <a:blip r:embed="rId1"/>
                  <a:srcRect/>
                  <a:stretch>
                    <a:fillRect/>
                  </a:stretch>
                </pic:blipFill>
                <pic:spPr>
                  <a:xfrm>
                    <a:off x="0" y="0"/>
                    <a:ext cx="1168047" cy="546100"/>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39" w14:textId="77777777" w:rsidR="00064C0F" w:rsidRDefault="009D4270">
    <w:pPr>
      <w:pBdr>
        <w:top w:val="nil"/>
        <w:left w:val="nil"/>
        <w:bottom w:val="nil"/>
        <w:right w:val="nil"/>
        <w:between w:val="nil"/>
      </w:pBdr>
      <w:tabs>
        <w:tab w:val="center" w:pos="4252"/>
        <w:tab w:val="right" w:pos="8504"/>
      </w:tabs>
      <w:spacing w:line="240" w:lineRule="auto"/>
      <w:rPr>
        <w:color w:val="000000"/>
      </w:rPr>
    </w:pPr>
    <w:r>
      <w:rPr>
        <w:noProof/>
        <w:color w:val="000000"/>
      </w:rPr>
      <mc:AlternateContent>
        <mc:Choice Requires="wps">
          <w:drawing>
            <wp:anchor distT="0" distB="0" distL="0" distR="0" simplePos="0" relativeHeight="251658241" behindDoc="0" locked="0" layoutInCell="1" hidden="0" allowOverlap="1" wp14:anchorId="21F52F55" wp14:editId="56258A8C">
              <wp:simplePos x="0" y="0"/>
              <wp:positionH relativeFrom="page">
                <wp:align>center</wp:align>
              </wp:positionH>
              <wp:positionV relativeFrom="page">
                <wp:align>top</wp:align>
              </wp:positionV>
              <wp:extent cx="1496695" cy="389255"/>
              <wp:effectExtent l="0" t="0" r="0" b="0"/>
              <wp:wrapNone/>
              <wp:docPr id="2" name="Retângulo 2" descr="•• PROTECTED 関係者外秘"/>
              <wp:cNvGraphicFramePr/>
              <a:graphic xmlns:a="http://schemas.openxmlformats.org/drawingml/2006/main">
                <a:graphicData uri="http://schemas.microsoft.com/office/word/2010/wordprocessingShape">
                  <wps:wsp>
                    <wps:cNvSpPr/>
                    <wps:spPr>
                      <a:xfrm>
                        <a:off x="4602415" y="3590135"/>
                        <a:ext cx="1487170" cy="379730"/>
                      </a:xfrm>
                      <a:prstGeom prst="rect">
                        <a:avLst/>
                      </a:prstGeom>
                      <a:noFill/>
                      <a:ln>
                        <a:noFill/>
                      </a:ln>
                    </wps:spPr>
                    <wps:txbx>
                      <w:txbxContent>
                        <w:p w14:paraId="4B3A5E52"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wps:txbx>
                    <wps:bodyPr spcFirstLastPara="1" wrap="square" lIns="0" tIns="190500" rIns="0" bIns="0" anchor="t" anchorCtr="0">
                      <a:noAutofit/>
                    </wps:bodyPr>
                  </wps:wsp>
                </a:graphicData>
              </a:graphic>
            </wp:anchor>
          </w:drawing>
        </mc:Choice>
        <mc:Fallback>
          <w:pict>
            <v:rect w14:anchorId="21F52F55" id="Retângulo 2" o:spid="_x0000_s1028" alt="•• PROTECTED 関係者外秘" style="position:absolute;margin-left:0;margin-top:0;width:117.85pt;height:30.65pt;z-index:251658241;visibility:visible;mso-wrap-style:squar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" filled="f" stroked="f">
              <v:textbox inset="0,15pt,0,0">
                <w:txbxContent>
                  <w:p w14:paraId="4B3A5E52" w14:textId="77777777" w:rsidR="00064C0F" w:rsidRDefault="009D4270">
                    <w:pPr>
                      <w:spacing w:line="275" w:lineRule="auto"/>
                      <w:textDirection w:val="btLr"/>
                    </w:pPr>
                    <w:r>
                      <w:rPr>
                        <w:rFonts w:ascii="Aptos" w:eastAsia="Aptos" w:hAnsi="Aptos" w:cs="Aptos"/>
                        <w:color w:val="000000"/>
                        <w:sz w:val="20"/>
                      </w:rPr>
                      <w:t xml:space="preserve">•• PROTECTED </w:t>
                    </w:r>
                    <w:proofErr w:type="spellStart"/>
                    <w:r>
                      <w:rPr>
                        <w:rFonts w:ascii="Aptos" w:eastAsia="Aptos" w:hAnsi="Aptos" w:cs="Aptos"/>
                        <w:color w:val="000000"/>
                        <w:sz w:val="20"/>
                      </w:rPr>
                      <w:t>関係者外秘</w:t>
                    </w:r>
                    <w:proofErr w:type="spellEnd"/>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11CBD"/>
    <w:multiLevelType w:val="multilevel"/>
    <w:tmpl w:val="7C368F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B091AE1"/>
    <w:multiLevelType w:val="multilevel"/>
    <w:tmpl w:val="3E304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415E66EE"/>
    <w:multiLevelType w:val="multilevel"/>
    <w:tmpl w:val="174C46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5A97BC6"/>
    <w:multiLevelType w:val="multilevel"/>
    <w:tmpl w:val="3E304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45777F4"/>
    <w:multiLevelType w:val="multilevel"/>
    <w:tmpl w:val="1EFAD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EC34388"/>
    <w:multiLevelType w:val="multilevel"/>
    <w:tmpl w:val="74986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47556397">
    <w:abstractNumId w:val="5"/>
  </w:num>
  <w:num w:numId="2" w16cid:durableId="2070764285">
    <w:abstractNumId w:val="3"/>
  </w:num>
  <w:num w:numId="3" w16cid:durableId="1282999489">
    <w:abstractNumId w:val="0"/>
  </w:num>
  <w:num w:numId="4" w16cid:durableId="1242594588">
    <w:abstractNumId w:val="2"/>
  </w:num>
  <w:num w:numId="5" w16cid:durableId="49036067">
    <w:abstractNumId w:val="4"/>
  </w:num>
  <w:num w:numId="6" w16cid:durableId="3900371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0F"/>
    <w:rsid w:val="00035C85"/>
    <w:rsid w:val="00064C0F"/>
    <w:rsid w:val="00080977"/>
    <w:rsid w:val="000C05A7"/>
    <w:rsid w:val="001961DC"/>
    <w:rsid w:val="001F79B8"/>
    <w:rsid w:val="00211A3B"/>
    <w:rsid w:val="002139BF"/>
    <w:rsid w:val="00235A2B"/>
    <w:rsid w:val="002D7349"/>
    <w:rsid w:val="002E0BC0"/>
    <w:rsid w:val="00336E45"/>
    <w:rsid w:val="00341589"/>
    <w:rsid w:val="003548E8"/>
    <w:rsid w:val="00391170"/>
    <w:rsid w:val="00426D9C"/>
    <w:rsid w:val="00437814"/>
    <w:rsid w:val="004379C7"/>
    <w:rsid w:val="0045539E"/>
    <w:rsid w:val="004C2E4A"/>
    <w:rsid w:val="0052361E"/>
    <w:rsid w:val="005273C3"/>
    <w:rsid w:val="005479FE"/>
    <w:rsid w:val="005615C2"/>
    <w:rsid w:val="005723F0"/>
    <w:rsid w:val="005919C5"/>
    <w:rsid w:val="005B2E98"/>
    <w:rsid w:val="005D2237"/>
    <w:rsid w:val="00600F1A"/>
    <w:rsid w:val="006040CC"/>
    <w:rsid w:val="006B4BEB"/>
    <w:rsid w:val="006E2428"/>
    <w:rsid w:val="006E61CF"/>
    <w:rsid w:val="00731C91"/>
    <w:rsid w:val="00737596"/>
    <w:rsid w:val="00756ACA"/>
    <w:rsid w:val="00763FA6"/>
    <w:rsid w:val="00784819"/>
    <w:rsid w:val="007B0CE2"/>
    <w:rsid w:val="007B18CE"/>
    <w:rsid w:val="007B777A"/>
    <w:rsid w:val="007E5226"/>
    <w:rsid w:val="00810D27"/>
    <w:rsid w:val="00814D2D"/>
    <w:rsid w:val="00843E87"/>
    <w:rsid w:val="00853F5C"/>
    <w:rsid w:val="0089191A"/>
    <w:rsid w:val="00915F3C"/>
    <w:rsid w:val="009D4270"/>
    <w:rsid w:val="009E47FE"/>
    <w:rsid w:val="00A029A1"/>
    <w:rsid w:val="00A237A1"/>
    <w:rsid w:val="00A53685"/>
    <w:rsid w:val="00A612C6"/>
    <w:rsid w:val="00AB2964"/>
    <w:rsid w:val="00AB35CE"/>
    <w:rsid w:val="00AB7382"/>
    <w:rsid w:val="00AD5313"/>
    <w:rsid w:val="00AD5F50"/>
    <w:rsid w:val="00AE4321"/>
    <w:rsid w:val="00AF5E9C"/>
    <w:rsid w:val="00AF75A3"/>
    <w:rsid w:val="00B04BB1"/>
    <w:rsid w:val="00B227B2"/>
    <w:rsid w:val="00B300DC"/>
    <w:rsid w:val="00B423D3"/>
    <w:rsid w:val="00B541AC"/>
    <w:rsid w:val="00BB1F14"/>
    <w:rsid w:val="00BC441C"/>
    <w:rsid w:val="00BDAB4C"/>
    <w:rsid w:val="00BF4D89"/>
    <w:rsid w:val="00BF505C"/>
    <w:rsid w:val="00C03085"/>
    <w:rsid w:val="00C26D2E"/>
    <w:rsid w:val="00C4365E"/>
    <w:rsid w:val="00C7435D"/>
    <w:rsid w:val="00CA4781"/>
    <w:rsid w:val="00CA64E1"/>
    <w:rsid w:val="00D11F58"/>
    <w:rsid w:val="00D13402"/>
    <w:rsid w:val="00D44267"/>
    <w:rsid w:val="00D45653"/>
    <w:rsid w:val="00DA7E3F"/>
    <w:rsid w:val="00DB2A73"/>
    <w:rsid w:val="00DF3837"/>
    <w:rsid w:val="00E2421F"/>
    <w:rsid w:val="00E3221F"/>
    <w:rsid w:val="00E62C7D"/>
    <w:rsid w:val="00E64F2D"/>
    <w:rsid w:val="00E80767"/>
    <w:rsid w:val="00E857DA"/>
    <w:rsid w:val="00ED6DC9"/>
    <w:rsid w:val="00F242F4"/>
    <w:rsid w:val="00F24B84"/>
    <w:rsid w:val="00F410EC"/>
    <w:rsid w:val="00F46101"/>
    <w:rsid w:val="00F57D2C"/>
    <w:rsid w:val="00F72B8B"/>
    <w:rsid w:val="00F74DEF"/>
    <w:rsid w:val="0629AF21"/>
    <w:rsid w:val="06A8C6C3"/>
    <w:rsid w:val="0785327A"/>
    <w:rsid w:val="0875C976"/>
    <w:rsid w:val="087DE5D8"/>
    <w:rsid w:val="0E4ACDCF"/>
    <w:rsid w:val="132BE32E"/>
    <w:rsid w:val="1492596E"/>
    <w:rsid w:val="15375155"/>
    <w:rsid w:val="15ADB3B5"/>
    <w:rsid w:val="188E0977"/>
    <w:rsid w:val="1ACAB901"/>
    <w:rsid w:val="1B2A7E5D"/>
    <w:rsid w:val="1E8ECEFA"/>
    <w:rsid w:val="20AA876C"/>
    <w:rsid w:val="213DEB42"/>
    <w:rsid w:val="26ADCF71"/>
    <w:rsid w:val="27786910"/>
    <w:rsid w:val="29139BEB"/>
    <w:rsid w:val="2C2A937E"/>
    <w:rsid w:val="2C9597D0"/>
    <w:rsid w:val="3601D95C"/>
    <w:rsid w:val="39D74E6C"/>
    <w:rsid w:val="3B64D31D"/>
    <w:rsid w:val="3E801A32"/>
    <w:rsid w:val="42B8361F"/>
    <w:rsid w:val="4DAF3942"/>
    <w:rsid w:val="4E5E0AFB"/>
    <w:rsid w:val="4FCC78E8"/>
    <w:rsid w:val="506318FD"/>
    <w:rsid w:val="518D4A4E"/>
    <w:rsid w:val="51B3658C"/>
    <w:rsid w:val="5368D687"/>
    <w:rsid w:val="54D32CA5"/>
    <w:rsid w:val="6DC2A005"/>
    <w:rsid w:val="726EF84F"/>
    <w:rsid w:val="7C0AD26D"/>
    <w:rsid w:val="7CBE4C5F"/>
    <w:rsid w:val="7FC9F572"/>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AAB77"/>
  <w15:docId w15:val="{552EAE5E-D76A-4EB2-A11C-EDC5C6056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iCs/>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Textodecomentrio">
    <w:name w:val="annotation text"/>
    <w:basedOn w:val="Normal"/>
    <w:link w:val="TextodecomentrioChar"/>
    <w:uiPriority w:val="99"/>
    <w:unhideWhenUsed/>
    <w:pPr>
      <w:spacing w:line="240" w:lineRule="auto"/>
    </w:pPr>
    <w:rPr>
      <w:sz w:val="20"/>
      <w:szCs w:val="20"/>
    </w:rPr>
  </w:style>
  <w:style w:type="character" w:customStyle="1" w:styleId="TextodecomentrioChar">
    <w:name w:val="Texto de comentário Char"/>
    <w:basedOn w:val="Fontepargpadro"/>
    <w:link w:val="Textodecomentrio"/>
    <w:uiPriority w:val="99"/>
    <w:rPr>
      <w:sz w:val="20"/>
      <w:szCs w:val="20"/>
    </w:rPr>
  </w:style>
  <w:style w:type="character" w:styleId="Refdecomentrio">
    <w:name w:val="annotation reference"/>
    <w:basedOn w:val="Fontepargpadro"/>
    <w:uiPriority w:val="99"/>
    <w:semiHidden/>
    <w:unhideWhenUsed/>
    <w:rPr>
      <w:sz w:val="16"/>
      <w:szCs w:val="16"/>
    </w:rPr>
  </w:style>
  <w:style w:type="character" w:styleId="Hyperlink">
    <w:name w:val="Hyperlink"/>
    <w:basedOn w:val="Fontepargpadro"/>
    <w:uiPriority w:val="99"/>
    <w:unhideWhenUsed/>
    <w:rsid w:val="004379C7"/>
    <w:rPr>
      <w:color w:val="0000FF" w:themeColor="hyperlink"/>
      <w:u w:val="single"/>
    </w:rPr>
  </w:style>
  <w:style w:type="character" w:styleId="MenoPendente">
    <w:name w:val="Unresolved Mention"/>
    <w:basedOn w:val="Fontepargpadro"/>
    <w:uiPriority w:val="99"/>
    <w:semiHidden/>
    <w:unhideWhenUsed/>
    <w:rsid w:val="004379C7"/>
    <w:rPr>
      <w:color w:val="605E5C"/>
      <w:shd w:val="clear" w:color="auto" w:fill="E1DFDD"/>
    </w:rPr>
  </w:style>
  <w:style w:type="paragraph" w:styleId="Assuntodocomentrio">
    <w:name w:val="annotation subject"/>
    <w:basedOn w:val="Textodecomentrio"/>
    <w:next w:val="Textodecomentrio"/>
    <w:link w:val="AssuntodocomentrioChar"/>
    <w:uiPriority w:val="99"/>
    <w:semiHidden/>
    <w:unhideWhenUsed/>
    <w:rsid w:val="00BF505C"/>
    <w:rPr>
      <w:b/>
      <w:bCs/>
    </w:rPr>
  </w:style>
  <w:style w:type="character" w:customStyle="1" w:styleId="AssuntodocomentrioChar">
    <w:name w:val="Assunto do comentário Char"/>
    <w:basedOn w:val="TextodecomentrioChar"/>
    <w:link w:val="Assuntodocomentrio"/>
    <w:uiPriority w:val="99"/>
    <w:semiHidden/>
    <w:rsid w:val="00BF505C"/>
    <w:rPr>
      <w:b/>
      <w:bCs/>
      <w:sz w:val="20"/>
      <w:szCs w:val="20"/>
    </w:rPr>
  </w:style>
  <w:style w:type="paragraph" w:styleId="PargrafodaLista">
    <w:name w:val="List Paragraph"/>
    <w:basedOn w:val="Normal"/>
    <w:uiPriority w:val="34"/>
    <w:qFormat/>
    <w:rsid w:val="00853F5C"/>
    <w:pPr>
      <w:ind w:left="720"/>
      <w:contextualSpacing/>
    </w:pPr>
  </w:style>
  <w:style w:type="paragraph" w:styleId="Cabealho">
    <w:name w:val="header"/>
    <w:basedOn w:val="Normal"/>
    <w:link w:val="CabealhoChar"/>
    <w:uiPriority w:val="99"/>
    <w:semiHidden/>
    <w:unhideWhenUsed/>
    <w:rsid w:val="00211A3B"/>
    <w:pPr>
      <w:tabs>
        <w:tab w:val="center" w:pos="4252"/>
        <w:tab w:val="right" w:pos="8504"/>
      </w:tabs>
      <w:spacing w:line="240" w:lineRule="auto"/>
    </w:pPr>
  </w:style>
  <w:style w:type="character" w:customStyle="1" w:styleId="CabealhoChar">
    <w:name w:val="Cabeçalho Char"/>
    <w:basedOn w:val="Fontepargpadro"/>
    <w:link w:val="Cabealho"/>
    <w:uiPriority w:val="99"/>
    <w:semiHidden/>
    <w:rsid w:val="00211A3B"/>
  </w:style>
  <w:style w:type="paragraph" w:styleId="Rodap">
    <w:name w:val="footer"/>
    <w:basedOn w:val="Normal"/>
    <w:link w:val="RodapChar"/>
    <w:uiPriority w:val="99"/>
    <w:semiHidden/>
    <w:unhideWhenUsed/>
    <w:rsid w:val="00211A3B"/>
    <w:pPr>
      <w:tabs>
        <w:tab w:val="center" w:pos="4252"/>
        <w:tab w:val="right" w:pos="8504"/>
      </w:tabs>
      <w:spacing w:line="240" w:lineRule="auto"/>
    </w:pPr>
  </w:style>
  <w:style w:type="character" w:customStyle="1" w:styleId="RodapChar">
    <w:name w:val="Rodapé Char"/>
    <w:basedOn w:val="Fontepargpadro"/>
    <w:link w:val="Rodap"/>
    <w:uiPriority w:val="99"/>
    <w:semiHidden/>
    <w:rsid w:val="00211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8TDiWmqqlbq7WbMriqp0vc4Fu3g==">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2044</Words>
  <Characters>11041</Characters>
  <Application>Microsoft Office Word</Application>
  <DocSecurity>0</DocSecurity>
  <Lines>92</Lines>
  <Paragraphs>26</Paragraphs>
  <ScaleCrop>false</ScaleCrop>
  <Company/>
  <LinksUpToDate>false</LinksUpToDate>
  <CharactersWithSpaces>13059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 Di Lello Dallacqua</dc:creator>
  <cp:keywords/>
  <cp:lastModifiedBy>Karina Gabriela Dos Santos Arruda</cp:lastModifiedBy>
  <cp:revision>3</cp:revision>
  <dcterms:created xsi:type="dcterms:W3CDTF">2026-06-22T20:30:00Z</dcterms:created>
  <dcterms:modified xsi:type="dcterms:W3CDTF">2026-06-23T11:59:00Z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cad2884,3f4d095a,2c7570b0</vt:lpwstr>
  </property>
  <property fmtid="{D5CDD505-2E9C-101B-9397-08002B2CF9AE}" pid="3" name="ClassificationContentMarkingHeaderFontProps">
    <vt:lpwstr>#000000,10,Aptos</vt:lpwstr>
  </property>
  <property fmtid="{D5CDD505-2E9C-101B-9397-08002B2CF9AE}" pid="4" name="ClassificationContentMarkingHeaderText">
    <vt:lpwstr>•• PROTECTED 関係者外秘</vt:lpwstr>
  </property>
  <property fmtid="{D5CDD505-2E9C-101B-9397-08002B2CF9AE}" pid="5" name="MSIP_Label_2e0c7aab-9a44-47a9-b362-9ab239a9b055_Enabled">
    <vt:lpwstr>true</vt:lpwstr>
  </property>
  <property fmtid="{D5CDD505-2E9C-101B-9397-08002B2CF9AE}" pid="6" name="MSIP_Label_2e0c7aab-9a44-47a9-b362-9ab239a9b055_SetDate">
    <vt:lpwstr>2026-03-27T22:42:40Z</vt:lpwstr>
  </property>
  <property fmtid="{D5CDD505-2E9C-101B-9397-08002B2CF9AE}" pid="7" name="MSIP_Label_2e0c7aab-9a44-47a9-b362-9ab239a9b055_Method">
    <vt:lpwstr>Standard</vt:lpwstr>
  </property>
  <property fmtid="{D5CDD505-2E9C-101B-9397-08002B2CF9AE}" pid="8" name="MSIP_Label_2e0c7aab-9a44-47a9-b362-9ab239a9b055_Name">
    <vt:lpwstr>PROTECTED  関係者外秘</vt:lpwstr>
  </property>
  <property fmtid="{D5CDD505-2E9C-101B-9397-08002B2CF9AE}" pid="9" name="MSIP_Label_2e0c7aab-9a44-47a9-b362-9ab239a9b055_SiteId">
    <vt:lpwstr>3855fb14-c221-4399-b3f8-97d96a4ce45d</vt:lpwstr>
  </property>
  <property fmtid="{D5CDD505-2E9C-101B-9397-08002B2CF9AE}" pid="10" name="MSIP_Label_2e0c7aab-9a44-47a9-b362-9ab239a9b055_ActionId">
    <vt:lpwstr>29fa475e-1a2a-48a4-8052-85ca474500c5</vt:lpwstr>
  </property>
  <property fmtid="{D5CDD505-2E9C-101B-9397-08002B2CF9AE}" pid="11" name="MSIP_Label_2e0c7aab-9a44-47a9-b362-9ab239a9b055_ContentBits">
    <vt:lpwstr>1</vt:lpwstr>
  </property>
  <property fmtid="{D5CDD505-2E9C-101B-9397-08002B2CF9AE}" pid="12" name="MSIP_Label_2e0c7aab-9a44-47a9-b362-9ab239a9b055_Tag">
    <vt:lpwstr>10, 3, 0, 1</vt:lpwstr>
  </property>
  <property fmtid="{D5CDD505-2E9C-101B-9397-08002B2CF9AE}" pid="13" name="ContentTypeId">
    <vt:lpwstr>0x010100767618A9D706C24EB672D128CBB79CE0</vt:lpwstr>
  </property>
</Properties>
</file>