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Toyota anuncia nova liderança em Comunicação Corporativa</w:t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Ricardo Castellani assume como Gerente Geral de Comunicação, com foco na estratégia de comunicação corporativa da companhia e suas marcas no Brasil</w:t>
      </w:r>
    </w:p>
    <w:p w:rsidR="00000000" w:rsidDel="00000000" w:rsidP="00000000" w:rsidRDefault="00000000" w:rsidRPr="00000000" w14:paraId="00000004">
      <w:pPr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</w:rPr>
        <w:drawing>
          <wp:inline distB="114300" distT="114300" distL="114300" distR="114300">
            <wp:extent cx="3084412" cy="3566127"/>
            <wp:effectExtent b="0" l="0" r="0" t="0"/>
            <wp:docPr id="126347568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4412" cy="35661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iCs w:val="1"/>
          <w:sz w:val="20"/>
          <w:szCs w:val="20"/>
          <w:rtl w:val="0"/>
        </w:rPr>
        <w:br w:type="textWrapping"/>
        <w:t xml:space="preserve">Ricardo Castellani, novo Gerente Geral de Comunicação na Toyota do Brasil</w:t>
      </w:r>
    </w:p>
    <w:p w:rsidR="00000000" w:rsidDel="00000000" w:rsidP="00000000" w:rsidRDefault="00000000" w:rsidRPr="00000000" w14:paraId="00000006">
      <w:pPr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São Paulo, 19 janeiro de 2026 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Toyota do Brasil anuncia Ricardo Castellani como novo Gerente Geral de Comunicação, responsável pelos projetos e atividades de comunicação corporativa da Toyota, Lexus, Gazoo Racing e KINTO no Brasil, incluindo relacionamento com imprensa, reputação, comunicação institucional e interna. Essa mudança renova o compromisso da Toyota com a excelência no relacionamento com seus stakeholders internos e externos. Castellani se reportará diretamente a Evandro Maggio, presidente da companhia.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Formado em Jornalismo pela Universidade Metodista de São Paulo e especializações em Comunicação pela Aberje/Eseg e PUCRS, o executivo traz mais de 20 anos de experiência em comunicação corporativa e sustentabilidade – metade no setor automotivo –, em empresas nacionais e internacionais.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“Chego à Toyota com entusiasmo para contribuir positivamente com a reputação de uma companhia que é referência global em mobilidade, inovação, qualidade e sustentabilidade. Fortaleceremos ainda mais o diálogo institucional com todos os nossos públicos, sempre com base na transparência, respeito e ética, valores inegociáveis para a companhia”, afirma Castellani.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Roberto Braun, até então Diretor de Comunicação, passa a se dedicar integralmente à Presidência da Fundação Toyota do Brasil, mantendo-se como porta-voz da companhia para temas ESG, em especial mobilidade sustentável, e com o objetivo de ampliar e reforçar ainda mais as ações socioambientais da fundação no País.</w:t>
      </w:r>
    </w:p>
    <w:p w:rsidR="00000000" w:rsidDel="00000000" w:rsidP="00000000" w:rsidRDefault="00000000" w:rsidRPr="00000000" w14:paraId="0000000B">
      <w:pPr>
        <w:spacing w:after="240" w:before="240" w:line="278.0000000000000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Sobre a Toyota do Brasil</w:t>
      </w:r>
    </w:p>
    <w:p w:rsidR="00000000" w:rsidDel="00000000" w:rsidP="00000000" w:rsidRDefault="00000000" w:rsidRPr="00000000" w14:paraId="0000000C">
      <w:pPr>
        <w:spacing w:after="240" w:before="240" w:line="278.00000000000006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A Toyota do Brasil está presente no País há 67 anos. Possui três unidades produtivas, localizadas em Indaiatuba, Sorocaba e Porto Feliz, todas no Estado de São Paulo, e emprega cerca de 6,7 mil pessoas. A Toyota é a fabricante líder em eletrificação no mundo: desde 1997 já foram comercializados mais de 30 milhões de automóveis mais limpos, sejam modelos híbridos, híbridos flex, híbridos plug-in, 100% a bateria ou movidos a hidrogênio. Tem como missão produzir felicidade para todas as pessoas (“Happiness for All”) e, para tanto, está comprometida em desenvolver carros cada vez melhores e mais seguros, além de avançar nas soluções de mobilidade. </w:t>
      </w:r>
    </w:p>
    <w:p w:rsidR="00000000" w:rsidDel="00000000" w:rsidP="00000000" w:rsidRDefault="00000000" w:rsidRPr="00000000" w14:paraId="0000000D">
      <w:pPr>
        <w:spacing w:after="240" w:before="240" w:line="278.00000000000006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Sobre a Fundação Toyota do Brasil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8.00000000000006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Criada há 16 anos, a Fundação Toyota do Brasil é uma instituição sem fins lucrativos que busca promover, por meio dos projetos que apoia, a transformação socioeconômica através da educação de qualidade, preservação do meio ambiente, ajuda humanitária, conservação do patrimônio histórico, e promoção artística e cultural. Atualmente, a Fundação apoia projetos de norte a sul do país, contribuindo com pelo menos um Objetivo de Desenvolvimento Sustentável (ODS) da Organização das Nações Unidas (ONU). Saiba mais no site: https://fundacaotoyotadobrasil.org.br/  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8.00000000000006" w:lineRule="auto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KINTO no Brasil e região 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8.00000000000006" w:lineRule="auto"/>
        <w:jc w:val="both"/>
        <w:rPr>
          <w:i w:val="1"/>
          <w:iCs w:val="1"/>
          <w:color w:val="222222"/>
          <w:sz w:val="24"/>
          <w:szCs w:val="24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Pioneira no mercado brasileiro e presente no País desde 2020, a KINTO desempenha um papel protagonista ao oferecer soluções e serviços que priorizam o uso do veículo conforme as diferentes necessidades em mobilidade. Atualmente, a empresa oferece três serviços no Brasil: KINTO Share, de aluguel e compartilhamento de veículos Toyota e Lexus por horas, dias, semanas e até um mês; KINTO One Fleet, de gestão de frotas corporativas; e KINTO One Personal, de assinatura de veículos novos e seminovos Toyota.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8.00000000000006" w:lineRule="auto"/>
        <w:jc w:val="both"/>
        <w:rPr>
          <w:i w:val="1"/>
          <w:iCs w:val="1"/>
          <w:color w:val="222222"/>
          <w:sz w:val="24"/>
          <w:szCs w:val="24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Por meio da KINTO, a Toyota posiciona-se hoje como a empresa automotiva com o mais amplo portfólio de serviços de mobilidade no País.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8.00000000000006" w:lineRule="auto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 KINTO está presente em mais de 40 países em todo o mundo. Na região da América Latina e Caribe, além do Brasil, mercados como Argentina, Chile, Peru, Bolívia, Uruguai, Panamá, Paraguai, Nicarágua, Honduras e Guatemala já contam com serviços de mobilidade KINTO.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278.00000000000006" w:lineRule="auto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Para saber mais sobre a KINTO, acesse </w:t>
      </w:r>
      <w:hyperlink r:id="rId8">
        <w:r w:rsidDel="00000000" w:rsidR="00000000" w:rsidRPr="00000000">
          <w:rPr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Link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Sobre a TOYOTA GAZOO Racing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278.00000000000006" w:lineRule="auto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 TOYOTA GAZOO Racing personifica o compromisso da Toyota em ultrapassar todos os limites para fabricar automóveis “carros cada vez melhores, criados a partir do automobilismo”, em criar tecnologias e soluções sob as condições extremas e em nunca parar de inovar. A TOYOTA GAZOO Racing compete com os seus automóveis para ultrapassar os limites e aprender com os desafios mais difíceis. Competir em todos os tipos de estrada, independentemente do desafio, inspira a TOYOTA GAZOO Racing a conceber o futuro DNA da Toyota para trazer a liberdade, a aventura e a alegria de conduzir a todos. </w:t>
        <w:br w:type="textWrapping"/>
        <w:br w:type="textWrapping"/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Sobre a Lexus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278.00000000000006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Desde a sua estreia, em 1989, a Lexus conquistou sólida reputação por seus produtos de alta qualidade e pelo excelente nível de atendimento prestado aos clientes. Em seu início, a Lexus disponibiliza dois sedãs de luxo e o compromisso com a busca pela perfeição. Desde aquela época, a Lexus tem expandido sua linha de produtos para atender clientes do mercado de luxo em todo o mundo. Atualmente, a marca vai além de sua reputação de veículos de alta qualidade, com a integração de tecnologias inovadoras, como a Lexus Hybrid Drive, que conquistou a liderança no segmento de luxo híbrido.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78.0000000000000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Mais informações</w:t>
      </w:r>
    </w:p>
    <w:p w:rsidR="00000000" w:rsidDel="00000000" w:rsidP="00000000" w:rsidRDefault="00000000" w:rsidRPr="00000000" w14:paraId="00000017">
      <w:pPr>
        <w:spacing w:after="240" w:before="240" w:line="278.0000000000000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Toyota do Brasil – Departamento de Comunicação</w:t>
      </w:r>
    </w:p>
    <w:p w:rsidR="00000000" w:rsidDel="00000000" w:rsidP="00000000" w:rsidRDefault="00000000" w:rsidRPr="00000000" w14:paraId="00000018">
      <w:pPr>
        <w:spacing w:after="240" w:before="240" w:line="278.00000000000006" w:lineRule="auto"/>
        <w:rPr>
          <w:rFonts w:ascii="Calibri" w:cs="Calibri" w:eastAsia="Calibri" w:hAnsi="Calibri"/>
          <w:color w:val="1155c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Aline Cerri –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aline.mustafa@toyota.com.br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Gabriel Aguiar –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gabriel.aguiar@toyota.com.br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Karina Arruda –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karina.arruda@toyota.com.br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rPr>
          <w:rFonts w:ascii="Calibri" w:cs="Calibri" w:eastAsia="Calibri" w:hAnsi="Calibri"/>
          <w:color w:val="1155c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Giusti Creative PR</w:t>
        <w:br w:type="textWrapping"/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toyota@giusticom.com.br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96695" cy="389255"/>
              <wp:effectExtent b="0" l="0" r="0" t="0"/>
              <wp:wrapNone/>
              <wp:docPr descr="•• PROTECTED 関係者外秘" id="126347568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602415" y="3590135"/>
                        <a:ext cx="148717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•• PROTECTED 関係者外秘</w:t>
                          </w:r>
                        </w:p>
                      </w:txbxContent>
                    </wps:txbx>
                    <wps:bodyPr anchorCtr="0" anchor="t" bIns="0" lIns="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96695" cy="389255"/>
              <wp:effectExtent b="0" l="0" r="0" t="0"/>
              <wp:wrapNone/>
              <wp:docPr descr="•• PROTECTED 関係者外秘" id="1263475685" name="image5.png"/>
              <a:graphic>
                <a:graphicData uri="http://schemas.openxmlformats.org/drawingml/2006/picture">
                  <pic:pic>
                    <pic:nvPicPr>
                      <pic:cNvPr descr="•• PROTECTED 関係者外秘"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6695" cy="3892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3271838</wp:posOffset>
              </wp:positionH>
              <wp:positionV relativeFrom="page">
                <wp:posOffset>-42860</wp:posOffset>
              </wp:positionV>
              <wp:extent cx="1454785" cy="409575"/>
              <wp:effectExtent b="0" l="0" r="0" t="0"/>
              <wp:wrapNone/>
              <wp:docPr descr="•• PROTECTED 関係者外秘" id="126347568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32895" y="3589500"/>
                        <a:ext cx="142621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7.0000076293945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•• PROTECTED 関係者外秘</w:t>
                          </w:r>
                        </w:p>
                      </w:txbxContent>
                    </wps:txbx>
                    <wps:bodyPr anchorCtr="0" anchor="t" bIns="0" lIns="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3271838</wp:posOffset>
              </wp:positionH>
              <wp:positionV relativeFrom="page">
                <wp:posOffset>-42860</wp:posOffset>
              </wp:positionV>
              <wp:extent cx="1454785" cy="409575"/>
              <wp:effectExtent b="0" l="0" r="0" t="0"/>
              <wp:wrapNone/>
              <wp:docPr descr="•• PROTECTED 関係者外秘" id="1263475683" name="image3.png"/>
              <a:graphic>
                <a:graphicData uri="http://schemas.openxmlformats.org/drawingml/2006/picture">
                  <pic:pic>
                    <pic:nvPicPr>
                      <pic:cNvPr descr="•• PROTECTED 関係者外秘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4785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5000625</wp:posOffset>
          </wp:positionH>
          <wp:positionV relativeFrom="paragraph">
            <wp:posOffset>0</wp:posOffset>
          </wp:positionV>
          <wp:extent cx="1092200" cy="323850"/>
          <wp:effectExtent b="0" l="0" r="0" t="0"/>
          <wp:wrapNone/>
          <wp:docPr descr="Desenho de um círculo&#10;&#10;Descrição gerada automaticamente com confiança baixa" id="1263475686" name="image1.png"/>
          <a:graphic>
            <a:graphicData uri="http://schemas.openxmlformats.org/drawingml/2006/picture">
              <pic:pic>
                <pic:nvPicPr>
                  <pic:cNvPr descr="Desenho de um círculo&#10;&#10;Descrição gerada automaticamente com confiança baix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2200" cy="3238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96695" cy="389255"/>
              <wp:effectExtent b="0" l="0" r="0" t="0"/>
              <wp:wrapNone/>
              <wp:docPr descr="•• PROTECTED 関係者外秘" id="126347568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602415" y="3590135"/>
                        <a:ext cx="148717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•• PROTECTED 関係者外秘</w:t>
                          </w:r>
                        </w:p>
                      </w:txbxContent>
                    </wps:txbx>
                    <wps:bodyPr anchorCtr="0" anchor="t" bIns="0" lIns="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96695" cy="389255"/>
              <wp:effectExtent b="0" l="0" r="0" t="0"/>
              <wp:wrapNone/>
              <wp:docPr descr="•• PROTECTED 関係者外秘" id="1263475684" name="image4.png"/>
              <a:graphic>
                <a:graphicData uri="http://schemas.openxmlformats.org/drawingml/2006/picture">
                  <pic:pic>
                    <pic:nvPicPr>
                      <pic:cNvPr descr="•• PROTECTED 関係者外秘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6695" cy="3892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viso">
    <w:name w:val="Revision"/>
    <w:hidden w:val="1"/>
    <w:uiPriority w:val="99"/>
    <w:semiHidden w:val="1"/>
    <w:rsid w:val="003948B5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 w:val="1"/>
    <w:rsid w:val="00875B5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75B53"/>
  </w:style>
  <w:style w:type="character" w:styleId="Refdecomentrio">
    <w:name w:val="annotation reference"/>
    <w:basedOn w:val="Fontepargpadro"/>
    <w:uiPriority w:val="99"/>
    <w:semiHidden w:val="1"/>
    <w:unhideWhenUsed w:val="1"/>
    <w:rsid w:val="003941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39411B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3941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9411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9411B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34"/>
    <w:qFormat w:val="1"/>
    <w:rsid w:val="0039411B"/>
    <w:pPr>
      <w:ind w:left="720"/>
      <w:contextualSpacing w:val="1"/>
    </w:pPr>
  </w:style>
  <w:style w:type="paragraph" w:styleId="Rodap">
    <w:name w:val="footer"/>
    <w:basedOn w:val="Normal"/>
    <w:link w:val="RodapChar"/>
    <w:uiPriority w:val="99"/>
    <w:unhideWhenUsed w:val="1"/>
    <w:rsid w:val="005C0C8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C0C86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karina.arruda@toyota.com.br" TargetMode="External"/><Relationship Id="rId10" Type="http://schemas.openxmlformats.org/officeDocument/2006/relationships/hyperlink" Target="mailto:gabriel.aguiar@toyota.com.br" TargetMode="External"/><Relationship Id="rId13" Type="http://schemas.openxmlformats.org/officeDocument/2006/relationships/header" Target="header2.xml"/><Relationship Id="rId12" Type="http://schemas.openxmlformats.org/officeDocument/2006/relationships/hyperlink" Target="mailto:toyota@giusticom.com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line.mustafa@toyota.com.br" TargetMode="External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kintomobility.com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sLoqxReb4wtqs8EPUploqZPtkw==">CgMxLjA4AHIhMUNWUklWUXJYcHlkWFBsOXpCMmppWUlObHZ0d3R0UWRQ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2026-01-16T11:31:00Z</dcterms:created>
  <dc:creator>Aline Mustafa Cerri Cezarini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ee2655,4b4f1be2,104ba31a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•• PROTECTED 関係者外秘</vt:lpwstr>
  </property>
  <property fmtid="{D5CDD505-2E9C-101B-9397-08002B2CF9AE}" pid="5" name="MSIP_Label_2e0c7aab-9a44-47a9-b362-9ab239a9b055_Enabled">
    <vt:lpwstr>true</vt:lpwstr>
  </property>
  <property fmtid="{D5CDD505-2E9C-101B-9397-08002B2CF9AE}" pid="6" name="MSIP_Label_2e0c7aab-9a44-47a9-b362-9ab239a9b055_SetDate">
    <vt:lpwstr>2026-01-13T19:12:08Z</vt:lpwstr>
  </property>
  <property fmtid="{D5CDD505-2E9C-101B-9397-08002B2CF9AE}" pid="7" name="MSIP_Label_2e0c7aab-9a44-47a9-b362-9ab239a9b055_Method">
    <vt:lpwstr>Standard</vt:lpwstr>
  </property>
  <property fmtid="{D5CDD505-2E9C-101B-9397-08002B2CF9AE}" pid="8" name="MSIP_Label_2e0c7aab-9a44-47a9-b362-9ab239a9b055_Name">
    <vt:lpwstr>PROTECTED  関係者外秘</vt:lpwstr>
  </property>
  <property fmtid="{D5CDD505-2E9C-101B-9397-08002B2CF9AE}" pid="9" name="MSIP_Label_2e0c7aab-9a44-47a9-b362-9ab239a9b055_SiteId">
    <vt:lpwstr>3855fb14-c221-4399-b3f8-97d96a4ce45d</vt:lpwstr>
  </property>
  <property fmtid="{D5CDD505-2E9C-101B-9397-08002B2CF9AE}" pid="10" name="MSIP_Label_2e0c7aab-9a44-47a9-b362-9ab239a9b055_ActionId">
    <vt:lpwstr>c0e64820-257e-4b13-a244-d5b75a7556a7</vt:lpwstr>
  </property>
  <property fmtid="{D5CDD505-2E9C-101B-9397-08002B2CF9AE}" pid="11" name="MSIP_Label_2e0c7aab-9a44-47a9-b362-9ab239a9b055_ContentBits">
    <vt:lpwstr>1</vt:lpwstr>
  </property>
  <property fmtid="{D5CDD505-2E9C-101B-9397-08002B2CF9AE}" pid="12" name="MSIP_Label_2e0c7aab-9a44-47a9-b362-9ab239a9b055_Tag">
    <vt:lpwstr>10, 3, 0, 1</vt:lpwstr>
  </property>
</Properties>
</file>