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center"/>
        <w:rPr>
          <w:rFonts w:ascii="Arial" w:cs="Arial" w:eastAsia="Arial" w:hAnsi="Arial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highlight w:val="white"/>
          <w:rtl w:val="0"/>
        </w:rPr>
        <w:t xml:space="preserve">Toyota patrocina 24ª edição do Festival do Japão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afterAutospacing="0" w:before="240" w:line="360" w:lineRule="auto"/>
        <w:ind w:left="940" w:hanging="360"/>
        <w:rPr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Desde a primeira edição, em 1998, marca é uma das apoiadoras do maior festival da cultura japonesa no Brasil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240" w:before="0" w:beforeAutospacing="0" w:line="360" w:lineRule="auto"/>
        <w:ind w:left="940" w:hanging="360"/>
        <w:rPr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Evento será promovido entre os dias 7 e 9 de julho no São Paulo Expo e terá como tema “Mottainai, desperdice menos, aproveite mais”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Com o objetivo de fortalecer a valorização da cultura japonesa no Brasil, a Toyota será uma das apoiadoras do 24º Festival do Japão, marcado para ocorrer entre sexta-feira (07) e domingo (09), no São Paulo Expo Exhibition &amp; Convention Center.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 festival, referência na missão de preservar, divulgar e transmitir a cultura japonesa no País, oferece uma programação que reúne o melhor da cultura japonesa. O público poderá desfrutar de shows musicais, atrações tradicionais, danças típicas e culinária regional das províncias japonesas, além de exposições culturais.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 tema da edição 2023 é “Mottainai: desperdice menos, aproveite mais!”. Esse conceito central da cultura japonesa, que enfatiza o combate ao desperdício e a otimização de todos os recursos, será celebrado com foco nos três Rs: Reduzir, Reutilizar e Reciclar.</w:t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 feira também marcará a comemoração dos 115 anos da imigração japonesa no Brasil. Além disso, haverá um espaço dedicado à divulgação de arte, cultura e produtos das províncias japonesas, uma exposição sobre o tema Mottainai e o espaço Card Games, apresentado pelo Capitão Hunter, famoso colecionador de cartas de Pokemon. 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 Toyota se alinha ao tema do Festival do Japão, por meio do seu compromisso em desenvolver uma sociedade em harmonia com a natureza. A empresa está engajada em uma série de iniciativas voltadas para a reutilização de resíduos da produção automotiva, dando um novo destino ao que antes seria descartado e contribuindo com a comunidade no entorno das suas plantas. Tais ações refletem o compromisso da Toyota com práticas sustentáveis e seu empenho em contribuir para um futuro mais consciente do ponto de vista ambiental.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“É com imensa satisfação que nos engajamos no maior festival de cultura japonesa realizado fora do Japão. Essa celebração proporciona a oportunidade para que um número cada vez maior de pessoas e gerações conheçam e apreciem as ricas tradições e a preservação da história japonesa. Por esse motivo, temos o privilégio de estar presentes há mais de duas décadas, estimulando e fortalecendo ainda mais a comunidade  nipo-brasileira”, afirma Otacílio do Nascimento, gerente de Comunicação Corporativa da Toyota do Brasil.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Neste ano, a Toyota estará presente como patrocinadora da área #FJTAON, espaço destinado à cultura jovem e digital que contará com exposição de artistas, arena de jogos e atrações musicais. Em exposição, a marca levará a versão híbrido flex do Corolla Cross 2024. Os visitantes que tirarem fotos com o veículo e marcarem a Toyota e o #FJTAON em suas redes sociais receberão uma ficha para jogos.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Sobre o evento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 Festival do Japão em São Paulo é considerado um dos maiores eventos de cultura japonesa do mundo, tendo reunido público de 182 mil visitantes em 2022. Neste ano, com novas áreas e novas atrações, serão utilizados 34 mil m</w:t>
      </w:r>
      <w:r w:rsidDel="00000000" w:rsidR="00000000" w:rsidRPr="00000000">
        <w:rPr>
          <w:rFonts w:ascii="Arial" w:cs="Arial" w:eastAsia="Arial" w:hAnsi="Arial"/>
          <w:highlight w:val="white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de área totalmente coberta para realizar o evento, que não tem fins lucrativos e é organizado por voluntários, com a colaboração oficial do governo do Japão, além do apoio da Prefeitura de São Paulo, do Governo do Estado de São Paulo e do Ministério da Cultura.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Sobre o realizador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 Federação das Associações de Províncias do Japão no Brasil foi criada em abril de 1966, com o objetivo inicial de fornecer assistência aos imigrantes japoneses recém-chegados. Atualmente é responsável pelo Memorial em Homenagem aos Imigrantes Pioneiros Falecidos, no Parque do Ibirapuera, pelo Monumento do Desembarque de Imigrantes Japoneses, em Santos, e pela visita aos locais importantes da história da imigração japonesa. Realiza desde 1998 o Festival do Japão, inicialmente chamado de Festival de Iguarias Regionais e Folclores Regionais do Japão, na marquise do Parque do Ibirapuera, que a partir de 2002 passou a ser oficialmente reconhecido no Estado de São Paulo e se tornou aos poucos o maior evento da comunidade nipo-brasileira.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Serviço: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24° Festival do Japão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Data: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7 a 9 de julho de 2023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Local: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São Paulo Expo (Rod. dos Imigrantes, km 1,5, São Paulo)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Sexta -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7/7 - 11 às 21 h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Sábado -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8/7 – 9 às 21 h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Domingo -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9/7 - 9 às 18 h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Ingressos -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Ingressos Festival do Japão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 divulgação deste material colabora diretamente para os seguintes Objetivos de Desenvolvimento Sustentável (ODS) da ONU: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</w:p>
    <w:tbl>
      <w:tblPr>
        <w:tblStyle w:val="Table1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360" w:lineRule="auto"/>
              <w:ind w:hanging="2"/>
              <w:jc w:val="both"/>
              <w:rPr>
                <w:rFonts w:ascii="Arial" w:cs="Arial" w:eastAsia="Arial" w:hAnsi="Arial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734.32196308726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5734.32196308726"/>
              <w:tblGridChange w:id="0">
                <w:tblGrid>
                  <w:gridCol w:w="5734.32196308726"/>
                </w:tblGrid>
              </w:tblGridChange>
            </w:tblGrid>
            <w:tr>
              <w:trPr>
                <w:cantSplit w:val="0"/>
                <w:trHeight w:val="59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spacing w:after="0" w:line="360" w:lineRule="auto"/>
                    <w:ind w:hanging="2"/>
                    <w:jc w:val="both"/>
                    <w:rPr>
                      <w:rFonts w:ascii="Arial" w:cs="Arial" w:eastAsia="Arial" w:hAnsi="Arial"/>
                      <w:color w:val="222222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114300" distT="114300" distL="114300" distR="114300" hidden="0" layoutInCell="1" locked="0" relativeHeight="0" simplePos="0">
                        <wp:simplePos x="0" y="0"/>
                        <wp:positionH relativeFrom="column">
                          <wp:posOffset>752475</wp:posOffset>
                        </wp:positionH>
                        <wp:positionV relativeFrom="paragraph">
                          <wp:posOffset>366712</wp:posOffset>
                        </wp:positionV>
                        <wp:extent cx="515303" cy="515303"/>
                        <wp:effectExtent b="0" l="0" r="0" t="0"/>
                        <wp:wrapSquare wrapText="bothSides" distB="114300" distT="114300" distL="114300" distR="114300"/>
                        <wp:docPr id="174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5303" cy="51530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Del="00000000" w:rsidR="00000000" w:rsidRPr="00000000">
                    <w:drawing>
                      <wp:anchor allowOverlap="1" behindDoc="0" distB="114300" distT="114300" distL="114300" distR="114300" hidden="0" layoutInCell="1" locked="0" relativeHeight="0" simplePos="0">
                        <wp:simplePos x="0" y="0"/>
                        <wp:positionH relativeFrom="column">
                          <wp:posOffset>85726</wp:posOffset>
                        </wp:positionH>
                        <wp:positionV relativeFrom="paragraph">
                          <wp:posOffset>348593</wp:posOffset>
                        </wp:positionV>
                        <wp:extent cx="541336" cy="541336"/>
                        <wp:effectExtent b="0" l="0" r="0" t="0"/>
                        <wp:wrapSquare wrapText="bothSides" distB="114300" distT="114300" distL="114300" distR="114300"/>
                        <wp:docPr id="177" name="image1.jp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jp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1336" cy="541336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tbl>
                  <w:tblPr>
                    <w:tblStyle w:val="Table3"/>
                    <w:tblW w:w="1955.0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600"/>
                  </w:tblPr>
                  <w:tblGrid>
                    <w:gridCol w:w="1955"/>
                    <w:tblGridChange w:id="0">
                      <w:tblGrid>
                        <w:gridCol w:w="1955"/>
                      </w:tblGrid>
                    </w:tblGridChange>
                  </w:tblGrid>
                  <w:tr>
                    <w:trPr>
                      <w:cantSplit w:val="0"/>
                      <w:trHeight w:val="350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23">
                        <w:pPr>
                          <w:spacing w:after="0" w:line="360" w:lineRule="auto"/>
                          <w:ind w:hanging="2"/>
                          <w:jc w:val="both"/>
                          <w:rPr>
                            <w:rFonts w:ascii="Arial" w:cs="Arial" w:eastAsia="Arial" w:hAnsi="Arial"/>
                            <w:color w:val="222222"/>
                            <w:sz w:val="24"/>
                            <w:szCs w:val="24"/>
                            <w:highlight w:val="whit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4"/>
                          <w:tblW w:w="1725.0" w:type="dxa"/>
                          <w:jc w:val="left"/>
                          <w:tblBorders>
                            <w:top w:color="000000" w:space="0" w:sz="0" w:val="nil"/>
                            <w:left w:color="000000" w:space="0" w:sz="0" w:val="nil"/>
                            <w:bottom w:color="000000" w:space="0" w:sz="0" w:val="nil"/>
                            <w:right w:color="000000" w:space="0" w:sz="0" w:val="nil"/>
                            <w:insideH w:color="000000" w:space="0" w:sz="0" w:val="nil"/>
                            <w:insideV w:color="000000" w:space="0" w:sz="0" w:val="nil"/>
                          </w:tblBorders>
                          <w:tblLayout w:type="fixed"/>
                          <w:tblLook w:val="0600"/>
                        </w:tblPr>
                        <w:tblGrid>
                          <w:gridCol w:w="1725"/>
                          <w:tblGridChange w:id="0">
                            <w:tblGrid>
                              <w:gridCol w:w="1725"/>
                            </w:tblGrid>
                          </w:tblGridChange>
                        </w:tblGrid>
                        <w:tr>
                          <w:trPr>
                            <w:cantSplit w:val="0"/>
                            <w:trHeight w:val="120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auto" w:val="clear"/>
                              <w:tcMar>
                                <w:top w:w="60.0" w:type="dxa"/>
                                <w:left w:w="60.0" w:type="dxa"/>
                                <w:bottom w:w="60.0" w:type="dxa"/>
                                <w:right w:w="60.0" w:type="dxa"/>
                              </w:tcMar>
                              <w:vAlign w:val="top"/>
                            </w:tcPr>
                            <w:p w:rsidR="00000000" w:rsidDel="00000000" w:rsidP="00000000" w:rsidRDefault="00000000" w:rsidRPr="00000000" w14:paraId="00000024">
                              <w:pPr>
                                <w:spacing w:after="0" w:line="360" w:lineRule="auto"/>
                                <w:ind w:hanging="2"/>
                                <w:jc w:val="center"/>
                                <w:rPr>
                                  <w:rFonts w:ascii="Arial" w:cs="Arial" w:eastAsia="Arial" w:hAnsi="Arial"/>
                                  <w:color w:val="222222"/>
                                  <w:sz w:val="24"/>
                                  <w:szCs w:val="24"/>
                                  <w:highlight w:val="white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25">
                        <w:pPr>
                          <w:spacing w:after="0" w:line="360" w:lineRule="auto"/>
                          <w:ind w:hanging="2"/>
                          <w:rPr>
                            <w:rFonts w:ascii="Arial" w:cs="Arial" w:eastAsia="Arial" w:hAnsi="Arial"/>
                            <w:color w:val="222222"/>
                            <w:sz w:val="24"/>
                            <w:szCs w:val="24"/>
                            <w:highlight w:val="whit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26">
                  <w:pPr>
                    <w:spacing w:after="0" w:line="360" w:lineRule="auto"/>
                    <w:ind w:hanging="2"/>
                    <w:jc w:val="both"/>
                    <w:rPr>
                      <w:rFonts w:ascii="Arial" w:cs="Arial" w:eastAsia="Arial" w:hAnsi="Arial"/>
                      <w:color w:val="222222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5"/>
                    <w:tblW w:w="981.8982813842564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600"/>
                  </w:tblPr>
                  <w:tblGrid>
                    <w:gridCol w:w="981.8982813842564"/>
                    <w:tblGridChange w:id="0">
                      <w:tblGrid>
                        <w:gridCol w:w="981.8982813842564"/>
                      </w:tblGrid>
                    </w:tblGridChange>
                  </w:tblGrid>
                  <w:tr>
                    <w:trPr>
                      <w:cantSplit w:val="0"/>
                      <w:trHeight w:val="350" w:hRule="atLeast"/>
                      <w:tblHeader w:val="0"/>
                    </w:trPr>
                    <w:tc>
                      <w:tcPr>
                        <w:tcBorders>
                          <w:top w:color="000000" w:space="0" w:sz="0" w:val="nil"/>
                          <w:left w:color="000000" w:space="0" w:sz="0" w:val="nil"/>
                          <w:bottom w:color="000000" w:space="0" w:sz="0" w:val="nil"/>
                          <w:right w:color="000000" w:space="0" w:sz="0" w:val="nil"/>
                        </w:tcBorders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27">
                        <w:pPr>
                          <w:spacing w:after="0" w:line="360" w:lineRule="auto"/>
                          <w:ind w:hanging="2"/>
                          <w:jc w:val="both"/>
                          <w:rPr>
                            <w:rFonts w:ascii="Arial" w:cs="Arial" w:eastAsia="Arial" w:hAnsi="Arial"/>
                            <w:color w:val="222222"/>
                            <w:sz w:val="24"/>
                            <w:szCs w:val="24"/>
                            <w:highlight w:val="whit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6"/>
                          <w:tblW w:w="400.0" w:type="dxa"/>
                          <w:jc w:val="left"/>
                          <w:tblBorders>
                            <w:top w:color="000000" w:space="0" w:sz="0" w:val="nil"/>
                            <w:left w:color="000000" w:space="0" w:sz="0" w:val="nil"/>
                            <w:bottom w:color="000000" w:space="0" w:sz="0" w:val="nil"/>
                            <w:right w:color="000000" w:space="0" w:sz="0" w:val="nil"/>
                            <w:insideH w:color="000000" w:space="0" w:sz="0" w:val="nil"/>
                            <w:insideV w:color="000000" w:space="0" w:sz="0" w:val="nil"/>
                          </w:tblBorders>
                          <w:tblLayout w:type="fixed"/>
                          <w:tblLook w:val="0600"/>
                        </w:tblPr>
                        <w:tblGrid>
                          <w:gridCol w:w="400"/>
                          <w:tblGridChange w:id="0">
                            <w:tblGrid>
                              <w:gridCol w:w="400"/>
                            </w:tblGrid>
                          </w:tblGridChange>
                        </w:tblGrid>
                        <w:tr>
                          <w:trPr>
                            <w:cantSplit w:val="0"/>
                            <w:trHeight w:val="120" w:hRule="atLeast"/>
                            <w:tblHeader w:val="0"/>
                          </w:trP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shd w:fill="auto" w:val="clear"/>
                              <w:tcMar>
                                <w:top w:w="60.0" w:type="dxa"/>
                                <w:left w:w="60.0" w:type="dxa"/>
                                <w:bottom w:w="60.0" w:type="dxa"/>
                                <w:right w:w="60.0" w:type="dxa"/>
                              </w:tcMar>
                              <w:vAlign w:val="top"/>
                            </w:tcPr>
                            <w:p w:rsidR="00000000" w:rsidDel="00000000" w:rsidP="00000000" w:rsidRDefault="00000000" w:rsidRPr="00000000" w14:paraId="00000028">
                              <w:pPr>
                                <w:spacing w:after="0" w:line="360" w:lineRule="auto"/>
                                <w:ind w:hanging="2"/>
                                <w:jc w:val="center"/>
                                <w:rPr>
                                  <w:rFonts w:ascii="Arial" w:cs="Arial" w:eastAsia="Arial" w:hAnsi="Arial"/>
                                  <w:color w:val="222222"/>
                                  <w:sz w:val="24"/>
                                  <w:szCs w:val="24"/>
                                  <w:highlight w:val="white"/>
                                </w:rPr>
                              </w:pPr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29">
                        <w:pPr>
                          <w:spacing w:after="0" w:line="360" w:lineRule="auto"/>
                          <w:ind w:hanging="2"/>
                          <w:rPr>
                            <w:rFonts w:ascii="Arial" w:cs="Arial" w:eastAsia="Arial" w:hAnsi="Arial"/>
                            <w:color w:val="222222"/>
                            <w:sz w:val="24"/>
                            <w:szCs w:val="24"/>
                            <w:highlight w:val="whit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2A">
                  <w:pPr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color="auto" w:space="0" w:sz="0" w:val="none"/>
                    </w:pBdr>
                    <w:spacing w:after="0" w:line="360" w:lineRule="auto"/>
                    <w:jc w:val="both"/>
                    <w:rPr>
                      <w:rFonts w:ascii="Arial" w:cs="Arial" w:eastAsia="Arial" w:hAnsi="Arial"/>
                      <w:color w:val="222222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22222"/>
                      <w:sz w:val="24"/>
                      <w:szCs w:val="24"/>
                      <w:highlight w:val="white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2B">
            <w:pPr>
              <w:spacing w:after="0" w:line="360" w:lineRule="auto"/>
              <w:ind w:hanging="2"/>
              <w:jc w:val="center"/>
              <w:rPr>
                <w:rFonts w:ascii="Arial" w:cs="Arial" w:eastAsia="Arial" w:hAnsi="Arial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Sobre a Toyota do Brasil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6 mil pessoas. A Toyota é a montadora líder em eletrificação no mundo: desde 1997 já foram comercializados mais de 20 milhões de automóveis mais limpos, sejam modelos híbridos, híbridos flex, híbridos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plug-in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highlight w:val="white"/>
          <w:rtl w:val="0"/>
        </w:rPr>
        <w:t xml:space="preserve">, 100% a bateria ou movidos a hidrogênio. 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18"/>
          <w:szCs w:val="18"/>
          <w:highlight w:val="whit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Happiness for All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18"/>
          <w:szCs w:val="18"/>
          <w:highlight w:val="whit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) e, para tanto, está comprometida em desenvolver carros cada vez melhores e mais seguros, além de avançar nas soluções de mobilidade. Junto com a Fundação Toyota do Brasil, tem iniciativas que repercutem os 17 Objetivos de Desenvolvimento Sustentável da ONU. Mais informações: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18"/>
            <w:szCs w:val="18"/>
            <w:highlight w:val="white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 e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18"/>
            <w:szCs w:val="18"/>
            <w:highlight w:val="white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highlight w:val="whit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1155cc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Lilian Assis –</w:t>
      </w:r>
      <w:r w:rsidDel="00000000" w:rsidR="00000000" w:rsidRPr="00000000">
        <w:rPr>
          <w:rFonts w:ascii="Arial" w:cs="Arial" w:eastAsia="Arial" w:hAnsi="Arial"/>
          <w:color w:val="0000ff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155cc"/>
          <w:highlight w:val="white"/>
          <w:u w:val="single"/>
          <w:rtl w:val="0"/>
        </w:rPr>
        <w:t xml:space="preserve">lassis@toyota.com.br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Kelly Buarque – </w:t>
      </w:r>
      <w:r w:rsidDel="00000000" w:rsidR="00000000" w:rsidRPr="00000000">
        <w:rPr>
          <w:rFonts w:ascii="Arial" w:cs="Arial" w:eastAsia="Arial" w:hAnsi="Arial"/>
          <w:color w:val="1155cc"/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1155cc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Kessia Santos – </w:t>
      </w:r>
      <w:r w:rsidDel="00000000" w:rsidR="00000000" w:rsidRPr="00000000">
        <w:rPr>
          <w:rFonts w:ascii="Arial" w:cs="Arial" w:eastAsia="Arial" w:hAnsi="Arial"/>
          <w:color w:val="1155cc"/>
          <w:highlight w:val="white"/>
          <w:u w:val="single"/>
          <w:rtl w:val="0"/>
        </w:rPr>
        <w:t xml:space="preserve">kosantos@toyota.com.br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1155cc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Angela Miguel Corrêa – </w:t>
      </w:r>
      <w:r w:rsidDel="00000000" w:rsidR="00000000" w:rsidRPr="00000000">
        <w:rPr>
          <w:rFonts w:ascii="Arial" w:cs="Arial" w:eastAsia="Arial" w:hAnsi="Arial"/>
          <w:color w:val="1155cc"/>
          <w:highlight w:val="white"/>
          <w:u w:val="single"/>
          <w:rtl w:val="0"/>
        </w:rPr>
        <w:t xml:space="preserve">amcorrea@toyota.com.br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1155cc"/>
          <w:highlight w:val="white"/>
          <w:u w:val="singl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b0273b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color w:val="0000ff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color w:val="1155cc"/>
          <w:highlight w:val="white"/>
          <w:u w:val="single"/>
          <w:rtl w:val="0"/>
        </w:rPr>
        <w:t xml:space="preserve">toyota@rpmacomunicacao.com.br</w:t>
      </w:r>
      <w:r w:rsidDel="00000000" w:rsidR="00000000" w:rsidRPr="00000000">
        <w:rPr>
          <w:rFonts w:ascii="Arial" w:cs="Arial" w:eastAsia="Arial" w:hAnsi="Arial"/>
          <w:color w:val="0000ff"/>
          <w:highlight w:val="white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Leonardo de Araújo – (11) 96084-0473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Cauê Malatesta – (11) 97200-7570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Henrique Carmos – (11) 98058-6298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360" w:lineRule="auto"/>
        <w:jc w:val="both"/>
        <w:rPr>
          <w:rFonts w:ascii="Arial" w:cs="Arial" w:eastAsia="Arial" w:hAnsi="Arial"/>
          <w:b w:val="1"/>
          <w:color w:val="b0273b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highlight w:val="white"/>
          <w:rtl w:val="0"/>
        </w:rPr>
        <w:t xml:space="preserve">Tel.: (11) 5501-4655 </w:t>
      </w:r>
    </w:p>
    <w:p w:rsidR="00000000" w:rsidDel="00000000" w:rsidP="00000000" w:rsidRDefault="00000000" w:rsidRPr="00000000" w14:paraId="00000042">
      <w:pPr>
        <w:spacing w:after="0" w:line="360" w:lineRule="auto"/>
        <w:ind w:hanging="2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2197100</wp:posOffset>
              </wp:positionH>
              <wp:positionV relativeFrom="paragraph">
                <wp:posOffset>0</wp:posOffset>
              </wp:positionV>
              <wp:extent cx="653415" cy="653415"/>
              <wp:effectExtent b="0" l="0" r="0" t="0"/>
              <wp:wrapSquare wrapText="bothSides" distB="0" distT="0" distL="0" distR="0"/>
              <wp:docPr descr="• PUBLIC 公開" id="17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2197100</wp:posOffset>
              </wp:positionH>
              <wp:positionV relativeFrom="paragraph">
                <wp:posOffset>0</wp:posOffset>
              </wp:positionV>
              <wp:extent cx="653415" cy="653415"/>
              <wp:effectExtent b="0" l="0" r="0" t="0"/>
              <wp:wrapSquare wrapText="bothSides" distB="0" distT="0" distL="0" distR="0"/>
              <wp:docPr descr="• PUBLIC 公開" id="173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3415" cy="6534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-199998</wp:posOffset>
          </wp:positionV>
          <wp:extent cx="757237" cy="555307"/>
          <wp:effectExtent b="0" l="0" r="0" t="0"/>
          <wp:wrapSquare wrapText="bothSides" distB="114300" distT="114300" distL="114300" distR="114300"/>
          <wp:docPr id="17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-70447</wp:posOffset>
          </wp:positionH>
          <wp:positionV relativeFrom="paragraph">
            <wp:posOffset>-116159</wp:posOffset>
          </wp:positionV>
          <wp:extent cx="1468755" cy="467995"/>
          <wp:effectExtent b="0" l="0" r="0" t="0"/>
          <wp:wrapNone/>
          <wp:docPr id="17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2197100</wp:posOffset>
              </wp:positionH>
              <wp:positionV relativeFrom="paragraph">
                <wp:posOffset>0</wp:posOffset>
              </wp:positionV>
              <wp:extent cx="653415" cy="653415"/>
              <wp:effectExtent b="0" l="0" r="0" t="0"/>
              <wp:wrapSquare wrapText="bothSides" distB="0" distT="0" distL="0" distR="0"/>
              <wp:docPr descr="• PUBLIC 公開" id="17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2197100</wp:posOffset>
              </wp:positionH>
              <wp:positionV relativeFrom="paragraph">
                <wp:posOffset>0</wp:posOffset>
              </wp:positionV>
              <wp:extent cx="653415" cy="653415"/>
              <wp:effectExtent b="0" l="0" r="0" t="0"/>
              <wp:wrapSquare wrapText="bothSides" distB="0" distT="0" distL="0" distR="0"/>
              <wp:docPr descr="• PUBLIC 公開" id="172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3415" cy="6534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oyota.com.br/" TargetMode="External"/><Relationship Id="rId10" Type="http://schemas.openxmlformats.org/officeDocument/2006/relationships/hyperlink" Target="https://www.toyota-global.com/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footer" Target="footer1.xml"/><Relationship Id="rId14" Type="http://schemas.openxmlformats.org/officeDocument/2006/relationships/header" Target="head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estivaldojapao.com/ingressos/" TargetMode="External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VgjQJYT0FgIZPr48PX8EyQTMlw==">CgMxLjA4AHIhMWVvaEJZdEdGQ243bWdydDAyY013OS1MMDNXOTM4UXE1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2023-04-13T13:25:00Z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