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24432" cy="676275"/>
            <wp:effectExtent b="0" l="0" r="0" t="0"/>
            <wp:docPr id="14918950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432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-215899</wp:posOffset>
                </wp:positionV>
                <wp:extent cx="1371600" cy="965200"/>
                <wp:effectExtent b="0" l="0" r="0" t="0"/>
                <wp:wrapNone/>
                <wp:docPr id="14918950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6550" y="3303750"/>
                          <a:ext cx="135890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Personalizar a seção realçada para o mercado local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-215899</wp:posOffset>
                </wp:positionV>
                <wp:extent cx="1371600" cy="965200"/>
                <wp:effectExtent b="0" l="0" r="0" t="0"/>
                <wp:wrapNone/>
                <wp:docPr id="14918950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right"/>
        <w:rPr>
          <w:rFonts w:ascii="Toyota Type Book" w:cs="Toyota Type Book" w:eastAsia="Toyota Type Book" w:hAnsi="Toyota Type Book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oyota Type Book" w:cs="Toyota Type Book" w:eastAsia="Toyota Type Book" w:hAnsi="Toyota Type Book"/>
          <w:color w:val="000000"/>
          <w:sz w:val="24"/>
          <w:szCs w:val="24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color w:val="ff0000"/>
          <w:sz w:val="24"/>
          <w:szCs w:val="24"/>
          <w:highlight w:val="yellow"/>
          <w:rtl w:val="0"/>
        </w:rPr>
        <w:t xml:space="preserve">EMBARGO: QUARTA-FEIRA, 17 DE ABRIL DE 2024, 09:00 (HORÁRIO AR/BR)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oyota Type Book" w:cs="Toyota Type Book" w:eastAsia="Toyota Type Book" w:hAnsi="Toyota Type 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oyota Type Black" w:cs="Toyota Type Black" w:eastAsia="Toyota Type Black" w:hAnsi="Toyota Type Black"/>
          <w:b w:val="1"/>
          <w:smallCaps w:val="1"/>
          <w:sz w:val="28"/>
          <w:szCs w:val="28"/>
        </w:rPr>
      </w:pPr>
      <w:r w:rsidDel="00000000" w:rsidR="00000000" w:rsidRPr="00000000">
        <w:rPr>
          <w:rFonts w:ascii="Toyota Type Black" w:cs="Toyota Type Black" w:eastAsia="Toyota Type Black" w:hAnsi="Toyota Type Black"/>
          <w:b w:val="1"/>
          <w:smallCaps w:val="1"/>
          <w:sz w:val="28"/>
          <w:szCs w:val="28"/>
          <w:rtl w:val="0"/>
        </w:rPr>
        <w:t xml:space="preserve">TOYOTA REVIVE CAMPANHA "</w:t>
      </w:r>
      <w:r w:rsidDel="00000000" w:rsidR="00000000" w:rsidRPr="00000000">
        <w:rPr>
          <w:rFonts w:ascii="Toyota Type Black" w:cs="Toyota Type Black" w:eastAsia="Toyota Type Black" w:hAnsi="Toyota Type Black"/>
          <w:b w:val="1"/>
          <w:i w:val="1"/>
          <w:smallCaps w:val="1"/>
          <w:sz w:val="28"/>
          <w:szCs w:val="28"/>
          <w:rtl w:val="0"/>
        </w:rPr>
        <w:t xml:space="preserve">START YOUR IMPOSSIBLE</w:t>
      </w:r>
      <w:r w:rsidDel="00000000" w:rsidR="00000000" w:rsidRPr="00000000">
        <w:rPr>
          <w:rFonts w:ascii="Toyota Type Black" w:cs="Toyota Type Black" w:eastAsia="Toyota Type Black" w:hAnsi="Toyota Type Black"/>
          <w:b w:val="1"/>
          <w:smallCaps w:val="1"/>
          <w:sz w:val="28"/>
          <w:szCs w:val="28"/>
          <w:rtl w:val="0"/>
        </w:rPr>
        <w:t xml:space="preserve">": UMA VISÃO GLOBAL COM AÇÃO LOCAL QUE DESTACA A CRENÇA DE QUE NENHUMA JORNADA É FEITA SOZINHA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oyota Type Book" w:cs="Toyota Type Book" w:eastAsia="Toyota Type Book" w:hAnsi="Toyota Type Book"/>
          <w:i w:val="1"/>
          <w:sz w:val="24"/>
          <w:szCs w:val="24"/>
        </w:rPr>
      </w:pPr>
      <w:r w:rsidDel="00000000" w:rsidR="00000000" w:rsidRPr="00000000">
        <w:rPr>
          <w:rFonts w:ascii="Toyota Type Book" w:cs="Toyota Type Book" w:eastAsia="Toyota Type Book" w:hAnsi="Toyota Type Book"/>
          <w:i w:val="1"/>
          <w:sz w:val="24"/>
          <w:szCs w:val="24"/>
          <w:rtl w:val="0"/>
        </w:rPr>
        <w:t xml:space="preserve">As peças serão veiculadas antes e durante os Jogos Olímpicos e Paralímpicos de Paris 2024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oyota Type Book" w:cs="Toyota Type Book" w:eastAsia="Toyota Type Book" w:hAnsi="Toyota Type Book"/>
          <w:i w:val="1"/>
          <w:sz w:val="24"/>
          <w:szCs w:val="24"/>
        </w:rPr>
      </w:pPr>
      <w:r w:rsidDel="00000000" w:rsidR="00000000" w:rsidRPr="00000000">
        <w:rPr>
          <w:rFonts w:ascii="Toyota Type Book" w:cs="Toyota Type Book" w:eastAsia="Toyota Type Book" w:hAnsi="Toyota Type Book"/>
          <w:i w:val="1"/>
          <w:sz w:val="24"/>
          <w:szCs w:val="24"/>
        </w:rPr>
        <w:drawing>
          <wp:inline distB="114300" distT="114300" distL="114300" distR="114300">
            <wp:extent cx="5926455" cy="3327400"/>
            <wp:effectExtent b="0" l="0" r="0" t="0"/>
            <wp:docPr id="14918950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Toyota Type Book" w:cs="Toyota Type Book" w:eastAsia="Toyota Type Book" w:hAnsi="Toyota Type Book"/>
          <w:sz w:val="18"/>
          <w:szCs w:val="18"/>
          <w:rtl w:val="0"/>
        </w:rPr>
        <w:t xml:space="preserve">Imagem: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campanha "Start Your Impossible" enfatiza a visão da Toyota de que nenhuma jornada é feita sozinha. 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color w:val="000000"/>
          <w:rtl w:val="0"/>
        </w:rPr>
        <w:t xml:space="preserve">São Paulo, 17 de abril de 2024 – 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Toyota Motor Corporation (Toyota) lançou hoje um novo capítulo da iniciativa global de marketing, "</w:t>
      </w:r>
      <w:r w:rsidDel="00000000" w:rsidR="00000000" w:rsidRPr="00000000">
        <w:rPr>
          <w:rFonts w:ascii="Toyota Type Book" w:cs="Toyota Type Book" w:eastAsia="Toyota Type Book" w:hAnsi="Toyota Type Book"/>
          <w:i w:val="1"/>
          <w:color w:val="000000"/>
          <w:rtl w:val="0"/>
        </w:rPr>
        <w:t xml:space="preserve">Start Your Impossible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", com o objetivo de gerar emoção para os Jogos Olímpicos e Paralímpicos Paris 2024. A campanha mostra o poder das comunidades locais que apoiam seus atletas e enfatiza a crença da empresa de que nenhuma jornada é feita sozinha.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campanha "</w:t>
      </w:r>
      <w:r w:rsidDel="00000000" w:rsidR="00000000" w:rsidRPr="00000000">
        <w:rPr>
          <w:rFonts w:ascii="Toyota Type Book" w:cs="Toyota Type Book" w:eastAsia="Toyota Type Book" w:hAnsi="Toyota Type Book"/>
          <w:i w:val="1"/>
          <w:color w:val="000000"/>
          <w:rtl w:val="0"/>
        </w:rPr>
        <w:t xml:space="preserve">Start Your Impossible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 não apenas mostra atletas olímpicos e paralímpicos de destaque, mas também se concentra nos heróis por trás do sucesso de cada atleta – os treinadores, companheiros de equipe, pais e fãs – a comunidade que impulsiona sua jornada.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mensagem da campanha celebra que o local de onde você vem, a sua comunidade, importam. É esse respeito pelas comunidades locais e o compromisso duradouro com o esporte que transparece no apoio da Toyota a mais de 200 atletas olímpicos e paralímpicos em todo o mundo.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campanha "</w:t>
      </w:r>
      <w:r w:rsidDel="00000000" w:rsidR="00000000" w:rsidRPr="00000000">
        <w:rPr>
          <w:rFonts w:ascii="Toyota Type Book" w:cs="Toyota Type Book" w:eastAsia="Toyota Type Book" w:hAnsi="Toyota Type Book"/>
          <w:i w:val="1"/>
          <w:color w:val="000000"/>
          <w:rtl w:val="0"/>
        </w:rPr>
        <w:t xml:space="preserve">Start Your Impossible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 conta as seguintes histórias: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Off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destaca o poderoso impacto das comunidades que se unem para apoiar seus atletas em sua jornada para os Jogos Olímpicos e Paralímpicos de Paris 2024.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Together Wins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mostra como juntos podem realmente alcançar o impossível.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 Conquers All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compartilha a história inspiradora da atleta olímpica de BMX dos EUA Alise Willoughby e seu marido/treinador Sam, o impacto transformador do amor e apoio da comunidade em tempos desafiadores.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Fast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mostra que o jogador de handebol olímpico francês Nikola Karabatić (com o treinamento espontâneo de seus vizinhos) pode enfrentar qualquer coisa que a vida lhe atira.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Keep Marissa Running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", mostra a atleta paralímpica canadense de atletismo Marissa Papaconstantinou, enquanto ela começa a jornada de sua cidade natal, no Canadá, rumo aos Jogos Paralímpicos de Paris 2024, com sua comunidade torcendo por ela em cada passo do caminho.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For One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lembra que quando você tem o apoio de sua comunidade, você é imparável.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campanha "</w:t>
      </w:r>
      <w:r w:rsidDel="00000000" w:rsidR="00000000" w:rsidRPr="00000000">
        <w:rPr>
          <w:rFonts w:ascii="Toyota Type Book" w:cs="Toyota Type Book" w:eastAsia="Toyota Type Book" w:hAnsi="Toyota Type Book"/>
          <w:i w:val="1"/>
          <w:color w:val="000000"/>
          <w:rtl w:val="0"/>
        </w:rPr>
        <w:t xml:space="preserve">Start Your Impossible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 apresenta mais de 20 atletas olímpicos e paralímpicos excepcionais e abrange várias plataformas, incluindo comerciais de TV, vídeo digital, conteúdo digital, mídia social, publicidade out-of-home (OOH) e publicidade programática. Os seis anúncios TVC lineares listados acima variam de 60, 30 e 15 segundos. Além disso, a campanha incorpora uma combinação de espaços sociais de 6 segundos e 15 segundos.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</w:t>
      </w:r>
      <w:r w:rsidDel="00000000" w:rsidR="00000000" w:rsidRPr="00000000">
        <w:rPr>
          <w:rFonts w:ascii="Toyota Type Book" w:cs="Toyota Type Book" w:eastAsia="Toyota Type Book" w:hAnsi="Toyota Type Book"/>
          <w:i w:val="1"/>
          <w:color w:val="000000"/>
          <w:rtl w:val="0"/>
        </w:rPr>
        <w:t xml:space="preserve">Start Your Impossible</w:t>
      </w: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" destaca o respeito da Toyota pelas diversas culturas locais e o papel crítico que as comunidades desempenham na jornada dos atletas. Para homenagear as pessoas nos bastidores, foi necessária uma colaboração estratégica e criativa global entre as agências Saatchi (Los Angeles e Dallas) e Dentsu (Tóquio). Através desta nova fase da campanha de 2024, a Toyota pretende acender a centelha de infinitas possibilidades que vive em comunidades ao redor do mundo.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oyota Type Book" w:cs="Toyota Type Book" w:eastAsia="Toyota Type Book" w:hAnsi="Toyota Type Book"/>
        </w:rPr>
      </w:pPr>
      <w:r w:rsidDel="00000000" w:rsidR="00000000" w:rsidRPr="00000000">
        <w:rPr>
          <w:rFonts w:ascii="Toyota Type Book" w:cs="Toyota Type Book" w:eastAsia="Toyota Type Book" w:hAnsi="Toyota Type Book"/>
          <w:rtl w:val="0"/>
        </w:rPr>
        <w:t xml:space="preserve">Para saber mais sobre a campanha "Start Your Impossible" da Toyota, </w:t>
      </w:r>
      <w:hyperlink r:id="rId10">
        <w:r w:rsidDel="00000000" w:rsidR="00000000" w:rsidRPr="00000000">
          <w:rPr>
            <w:rFonts w:ascii="Toyota Type Book" w:cs="Toyota Type Book" w:eastAsia="Toyota Type Book" w:hAnsi="Toyota Type Book"/>
            <w:color w:val="1155cc"/>
            <w:u w:val="single"/>
            <w:rtl w:val="0"/>
          </w:rPr>
          <w:t xml:space="preserve">visite</w:t>
        </w:r>
      </w:hyperlink>
      <w:r w:rsidDel="00000000" w:rsidR="00000000" w:rsidRPr="00000000">
        <w:rPr>
          <w:rFonts w:ascii="Toyota Type Book" w:cs="Toyota Type Book" w:eastAsia="Toyota Type Book" w:hAnsi="Toyota Type Book"/>
          <w:rtl w:val="0"/>
        </w:rPr>
        <w:t xml:space="preserve">.</w:t>
      </w:r>
      <w:r w:rsidDel="00000000" w:rsidR="00000000" w:rsidRPr="00000000">
        <w:rPr>
          <w:rFonts w:ascii="Toyota Type Book" w:cs="Toyota Type Book" w:eastAsia="Toyota Type Book" w:hAnsi="Toyota Type Book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jc w:val="center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# # #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oyota Type Book" w:cs="Toyota Type Book" w:eastAsia="Toyota Type Book" w:hAnsi="Toyota Type Book"/>
          <w:b w:val="1"/>
          <w:color w:val="000000"/>
          <w:u w:val="single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color w:val="000000"/>
          <w:u w:val="single"/>
          <w:rtl w:val="0"/>
        </w:rPr>
        <w:t xml:space="preserve">Sobre a Toyota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oyota Type Book" w:cs="Toyota Type Book" w:eastAsia="Toyota Type Book" w:hAnsi="Toyota Type Book"/>
          <w:color w:val="000000"/>
        </w:rPr>
      </w:pPr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A Toyota Motor Corporation (TMC) é a empresa global de mobilidade que introduziu o carro elétrico híbrido Prius em 1997 e o primeiro sedã de célula de combustível produzido em massa, o Mirai, em 2014. Com sede na cidade de Toyota, Japão, a Toyota fabrica automóveis desde 1937. Hoje, a Toyota se orgulha de ter 370.000 funcionários em comunidades ao redor do mundo. Juntos, eles fabricam cerca de 10 milhões de veículos por ano em 29 países, de carros convencionais e veículos premium a mini veículos e caminhões comerciais, e os vendem em mais de 170 países sob as marcas Toyota, Lexus, Daihatsu e Hino. Para mais informações, </w:t>
      </w:r>
      <w:hyperlink r:id="rId11">
        <w:r w:rsidDel="00000000" w:rsidR="00000000" w:rsidRPr="00000000">
          <w:rPr>
            <w:rFonts w:ascii="Toyota Type Book" w:cs="Toyota Type Book" w:eastAsia="Toyota Type Book" w:hAnsi="Toyota Type Book"/>
            <w:color w:val="1155cc"/>
            <w:u w:val="single"/>
            <w:rtl w:val="0"/>
          </w:rPr>
          <w:t xml:space="preserve">visite</w:t>
        </w:r>
      </w:hyperlink>
      <w:r w:rsidDel="00000000" w:rsidR="00000000" w:rsidRPr="00000000">
        <w:rPr>
          <w:rFonts w:ascii="Toyota Type Book" w:cs="Toyota Type Book" w:eastAsia="Toyota Type Book" w:hAnsi="Toyota Type Book"/>
          <w:color w:val="000000"/>
          <w:rtl w:val="0"/>
        </w:rPr>
        <w:t xml:space="preserve">. </w:t>
      </w:r>
    </w:p>
    <w:sectPr>
      <w:headerReference r:id="rId12" w:type="default"/>
      <w:headerReference r:id="rId13" w:type="first"/>
      <w:headerReference r:id="rId14" w:type="even"/>
      <w:pgSz w:h="15840" w:w="12240" w:orient="portrait"/>
      <w:pgMar w:bottom="1440" w:top="1440" w:left="1440" w:right="1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oyota Type Black"/>
  <w:font w:name="Noto Sans Symbols">
    <w:embedRegular w:fontKey="{00000000-0000-0000-0000-000000000000}" r:id="rId1" w:subsetted="0"/>
    <w:embedBold w:fontKey="{00000000-0000-0000-0000-000000000000}" r:id="rId2" w:subsetted="0"/>
  </w:font>
  <w:font w:name="Toyota Type Boo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PÚBLICO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2" name="image5.png"/>
              <a:graphic>
                <a:graphicData uri="http://schemas.openxmlformats.org/drawingml/2006/picture">
                  <pic:pic>
                    <pic:nvPicPr>
                      <pic:cNvPr descr="• PÚBLICO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PÚBLICO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1" name="image4.png"/>
              <a:graphic>
                <a:graphicData uri="http://schemas.openxmlformats.org/drawingml/2006/picture">
                  <pic:pic>
                    <pic:nvPicPr>
                      <pic:cNvPr descr="• PÚBLICO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PÚBLICO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ÚBLICO 公開" id="1491895010" name="image3.png"/>
              <a:graphic>
                <a:graphicData uri="http://schemas.openxmlformats.org/drawingml/2006/picture">
                  <pic:pic>
                    <pic:nvPicPr>
                      <pic:cNvPr descr="• PÚBLICO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22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6223C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6223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223C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223C0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51E08"/>
    <w:pPr>
      <w:ind w:left="720"/>
      <w:contextualSpacing w:val="1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F12D43"/>
    <w:rPr>
      <w:color w:val="954f72" w:themeColor="followedHyperlink"/>
      <w:u w:val="single"/>
    </w:rPr>
  </w:style>
  <w:style w:type="paragraph" w:styleId="Reviso">
    <w:name w:val="Revision"/>
    <w:hidden w:val="1"/>
    <w:uiPriority w:val="99"/>
    <w:semiHidden w:val="1"/>
    <w:rsid w:val="000748B6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8B3221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BA74A1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A74A1"/>
  </w:style>
  <w:style w:type="paragraph" w:styleId="Rodap">
    <w:name w:val="footer"/>
    <w:basedOn w:val="Normal"/>
    <w:link w:val="RodapChar"/>
    <w:uiPriority w:val="99"/>
    <w:unhideWhenUsed w:val="1"/>
    <w:rsid w:val="00653C36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3C36"/>
  </w:style>
  <w:style w:type="character" w:styleId="TextodoEspaoReservado">
    <w:name w:val="Placeholder Text"/>
    <w:basedOn w:val="Fontepargpadro"/>
    <w:uiPriority w:val="99"/>
    <w:semiHidden w:val="1"/>
    <w:rsid w:val="006F7276"/>
    <w:rPr>
      <w:color w:val="66666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oyota-global.com" TargetMode="External"/><Relationship Id="rId10" Type="http://schemas.openxmlformats.org/officeDocument/2006/relationships/hyperlink" Target="http://www.startyourimpossible.com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kq/9wP6CisVpMpnLi+tpoJdRTw==">CgMxLjA4AHIhMTRmS0I4WjF0Vm4yd3VhRGh4SWFMVkhjelZiNzFPbUV0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2024-04-10T19:00:00Z</dcterms:created>
  <dc:creator>Denise Morrissey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291e634a,54ca55e8,4ab02fd1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2024-01-04T08:52:44Z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edad6c49-35ea-4b2e-83be-f6a421a66b9e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0x01010066689CD61A82B44A9E2B87AA4101CA1F</vt:lpwstr>
  </property>
  <property fmtid="{D5CDD505-2E9C-101B-9397-08002B2CF9AE}" pid="13" name="MSIP_Label_023e975b-7b34-49da-9033-9c8f8f7bcde3_Enabled">
    <vt:lpwstr>true</vt:lpwstr>
  </property>
  <property fmtid="{D5CDD505-2E9C-101B-9397-08002B2CF9AE}" pid="14" name="MSIP_Label_023e975b-7b34-49da-9033-9c8f8f7bcde3_SetDate">
    <vt:lpwstr>2024-04-01T17:03:39Z</vt:lpwstr>
  </property>
  <property fmtid="{D5CDD505-2E9C-101B-9397-08002B2CF9AE}" pid="15" name="MSIP_Label_023e975b-7b34-49da-9033-9c8f8f7bcde3_Method">
    <vt:lpwstr>Privileged</vt:lpwstr>
  </property>
  <property fmtid="{D5CDD505-2E9C-101B-9397-08002B2CF9AE}" pid="16" name="MSIP_Label_023e975b-7b34-49da-9033-9c8f8f7bcde3_Name">
    <vt:lpwstr>Public 公開</vt:lpwstr>
  </property>
  <property fmtid="{D5CDD505-2E9C-101B-9397-08002B2CF9AE}" pid="17" name="MSIP_Label_023e975b-7b34-49da-9033-9c8f8f7bcde3_SiteId">
    <vt:lpwstr>3855fb14-c221-4399-b3f8-97d96a4ce45d</vt:lpwstr>
  </property>
  <property fmtid="{D5CDD505-2E9C-101B-9397-08002B2CF9AE}" pid="18" name="MSIP_Label_023e975b-7b34-49da-9033-9c8f8f7bcde3_ActionId">
    <vt:lpwstr>5dd5f39c-1b06-4e5c-b377-51d47f0ad57b</vt:lpwstr>
  </property>
  <property fmtid="{D5CDD505-2E9C-101B-9397-08002B2CF9AE}" pid="19" name="MSIP_Label_023e975b-7b34-49da-9033-9c8f8f7bcde3_ContentBits">
    <vt:lpwstr>1</vt:lpwstr>
  </property>
  <property fmtid="{D5CDD505-2E9C-101B-9397-08002B2CF9AE}" pid="20" name="MSIP_Label_687d5f68-9a13-43f0-a144-f69fcd7386e5_Enabled">
    <vt:lpwstr>true</vt:lpwstr>
  </property>
  <property fmtid="{D5CDD505-2E9C-101B-9397-08002B2CF9AE}" pid="21" name="MSIP_Label_687d5f68-9a13-43f0-a144-f69fcd7386e5_SetDate">
    <vt:lpwstr>2024-04-08T13:12:33Z</vt:lpwstr>
  </property>
  <property fmtid="{D5CDD505-2E9C-101B-9397-08002B2CF9AE}" pid="22" name="MSIP_Label_687d5f68-9a13-43f0-a144-f69fcd7386e5_Method">
    <vt:lpwstr>Privileged</vt:lpwstr>
  </property>
  <property fmtid="{D5CDD505-2E9C-101B-9397-08002B2CF9AE}" pid="23" name="MSIP_Label_687d5f68-9a13-43f0-a144-f69fcd7386e5_Name">
    <vt:lpwstr>Public</vt:lpwstr>
  </property>
  <property fmtid="{D5CDD505-2E9C-101B-9397-08002B2CF9AE}" pid="24" name="MSIP_Label_687d5f68-9a13-43f0-a144-f69fcd7386e5_SiteId">
    <vt:lpwstr>22d9890d-3e8a-415b-8c99-cdf3e96b87bf</vt:lpwstr>
  </property>
  <property fmtid="{D5CDD505-2E9C-101B-9397-08002B2CF9AE}" pid="25" name="MSIP_Label_687d5f68-9a13-43f0-a144-f69fcd7386e5_ActionId">
    <vt:lpwstr>e0b790a1-3ca1-4c58-b5b1-7b64c6c4155f</vt:lpwstr>
  </property>
  <property fmtid="{D5CDD505-2E9C-101B-9397-08002B2CF9AE}" pid="26" name="MSIP_Label_687d5f68-9a13-43f0-a144-f69fcd7386e5_ContentBits">
    <vt:lpwstr>1</vt:lpwstr>
  </property>
</Properties>
</file>