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36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Toyota incentiva projetos ligados à cultura, esporte e criança e adolescente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after="0" w:before="240" w:line="360" w:lineRule="auto"/>
        <w:ind w:left="720" w:hanging="360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Por meio dos projetos selecionados através do uso das leis de incentivo fiscal, a Toyota reforça o compromisso com a sociedade, contribuindo diretamente com os Objetivos de Desenvolvimento Sustentável da ONU</w:t>
      </w:r>
    </w:p>
    <w:p w:rsidR="00000000" w:rsidDel="00000000" w:rsidP="00000000" w:rsidRDefault="00000000" w:rsidRPr="00000000" w14:paraId="00000003">
      <w:pPr>
        <w:spacing w:after="240" w:line="360" w:lineRule="auto"/>
        <w:ind w:left="720" w:firstLine="0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São Paulo, fevereiro de 2024 –</w:t>
      </w:r>
      <w:r w:rsidDel="00000000" w:rsidR="00000000" w:rsidRPr="00000000">
        <w:rPr>
          <w:rFonts w:ascii="Arial" w:cs="Arial" w:eastAsia="Arial" w:hAnsi="Arial"/>
          <w:rtl w:val="0"/>
        </w:rPr>
        <w:t xml:space="preserve"> A Toyota do Brasil busca ampliar a contribuição no impacto social das comunidades em que atua por meio da promoção do acesso à cultura, ao esporte e à cidadania. Por isso, a companhia selecionou cinco projetos que serão incentivados via Leis do Audiovisual, Rouanet, Esporte e Funcad (Fundo Municipal dos Direitos da Criança e do Adolescente). 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 processo de seleção, a companhia recebeu mais de 200 projetos elegíveis. Após análise cuidadosa, foram selecionados projetos alinhados aos pilares de impacto social da empresa, que são pautados na inclusão social e geração de oportunidades, abraçando a premissa de que ninguém pode ficar para trás (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No One Behind</w:t>
      </w:r>
      <w:r w:rsidDel="00000000" w:rsidR="00000000" w:rsidRPr="00000000">
        <w:rPr>
          <w:rFonts w:ascii="Arial" w:cs="Arial" w:eastAsia="Arial" w:hAnsi="Arial"/>
          <w:rtl w:val="0"/>
        </w:rPr>
        <w:t xml:space="preserve">). 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Além disso, a premissa de seleção dos projetos avalia a oportunidade de acesso a direitos básicos para pessoas que não às têm, considerando atividades sociais, culturais, de saúde e esportivas, focando em ações de diversidade e inclusão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Esse apoio visa reforçar o compromisso da Toyota em promover o desenvolvimento social no país. Os projetos selecionados concentram-se nas cidades onde a companhia tem operação, mas também há iniciativas com alcance nacional.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Esses foram os projetos selecionados: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‘Histórias do Movimento Paralímpico’:</w:t>
      </w:r>
      <w:r w:rsidDel="00000000" w:rsidR="00000000" w:rsidRPr="00000000">
        <w:rPr>
          <w:rFonts w:ascii="Arial" w:cs="Arial" w:eastAsia="Arial" w:hAnsi="Arial"/>
          <w:rtl w:val="0"/>
        </w:rPr>
        <w:t xml:space="preserve"> série de filmes que documenta a busca do Brasil por excelência nos Jogos Paralímpicos, destacando diversidade e inclusão;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‘Brasil 2050’:</w:t>
      </w:r>
      <w:r w:rsidDel="00000000" w:rsidR="00000000" w:rsidRPr="00000000">
        <w:rPr>
          <w:rFonts w:ascii="Arial" w:cs="Arial" w:eastAsia="Arial" w:hAnsi="Arial"/>
          <w:rtl w:val="0"/>
        </w:rPr>
        <w:t xml:space="preserve"> série que aborda as metas de desenvolvimento sustentável para atingir a neutralidade climática até 2050, promovendo conscientização ambiental;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Instituto Athlon Esportes Paralímpicos:</w:t>
      </w:r>
      <w:r w:rsidDel="00000000" w:rsidR="00000000" w:rsidRPr="00000000">
        <w:rPr>
          <w:rFonts w:ascii="Arial" w:cs="Arial" w:eastAsia="Arial" w:hAnsi="Arial"/>
          <w:rtl w:val="0"/>
        </w:rPr>
        <w:t xml:space="preserve"> o projeto busca melhorar a qualidade de vida e inclusão social de pessoas com deficiência por meio da atividade física e desenvolvimento de futuros atletas paralímpicos;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Stock Car 1 – Vicar/Instituto Stock Car:</w:t>
      </w:r>
      <w:r w:rsidDel="00000000" w:rsidR="00000000" w:rsidRPr="00000000">
        <w:rPr>
          <w:rFonts w:ascii="Arial" w:cs="Arial" w:eastAsia="Arial" w:hAnsi="Arial"/>
          <w:rtl w:val="0"/>
        </w:rPr>
        <w:t xml:space="preserve"> participação em etapas de campeonatos nacionais de automobilismo em apoio ao Instituto Ingo Hoffmann, que oferece tratamento a crianças com câncer, integrando esporte à responsabilidade social;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AACD Terapia Integrativa:</w:t>
      </w:r>
      <w:r w:rsidDel="00000000" w:rsidR="00000000" w:rsidRPr="00000000">
        <w:rPr>
          <w:rFonts w:ascii="Arial" w:cs="Arial" w:eastAsia="Arial" w:hAnsi="Arial"/>
          <w:rtl w:val="0"/>
        </w:rPr>
        <w:t xml:space="preserve"> utilização de pedagogia, arteterapia e musicoterapia para a reabilitação de crianças e adolescentes com deficiência física, promovendo uma abordagem terapêutica integrativa.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Objetivos de Desenvolvimento Sustentável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divulgação deste material colabora diretamente para o seguinte Objetivo de Desenvolvimento Sustentável da ONU: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</w:t>
      </w:r>
      <w:r w:rsidDel="00000000" w:rsidR="00000000" w:rsidRPr="00000000">
        <w:rPr/>
        <w:drawing>
          <wp:inline distB="0" distT="0" distL="0" distR="0">
            <wp:extent cx="1040871" cy="1032643"/>
            <wp:effectExtent b="0" l="0" r="0" t="0"/>
            <wp:docPr descr="Ícone&#10;&#10;Descrição gerada automaticamente" id="1769130708" name="image4.png"/>
            <a:graphic>
              <a:graphicData uri="http://schemas.openxmlformats.org/drawingml/2006/picture">
                <pic:pic>
                  <pic:nvPicPr>
                    <pic:cNvPr descr="Ícone&#10;&#10;Descrição gerada automaticamente"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40871" cy="103264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/>
        <w:drawing>
          <wp:inline distB="0" distT="0" distL="0" distR="0">
            <wp:extent cx="1028700" cy="1028700"/>
            <wp:effectExtent b="0" l="0" r="0" t="0"/>
            <wp:docPr descr="Desenho de uma placa&#10;&#10;Descrição gerada automaticamente" id="1769130710" name="image3.png"/>
            <a:graphic>
              <a:graphicData uri="http://schemas.openxmlformats.org/drawingml/2006/picture">
                <pic:pic>
                  <pic:nvPicPr>
                    <pic:cNvPr descr="Desenho de uma placa&#10;&#10;Descrição gerada automaticamente"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/>
        <w:drawing>
          <wp:inline distB="0" distT="0" distL="0" distR="0">
            <wp:extent cx="1046788" cy="1030239"/>
            <wp:effectExtent b="0" l="0" r="0" t="0"/>
            <wp:docPr descr="Ícone&#10;&#10;Descrição gerada automaticamente" id="1769130709" name="image5.png"/>
            <a:graphic>
              <a:graphicData uri="http://schemas.openxmlformats.org/drawingml/2006/picture">
                <pic:pic>
                  <pic:nvPicPr>
                    <pic:cNvPr descr="Ícone&#10;&#10;Descrição gerada automaticamente" id="0" name="image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46788" cy="103023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Arial" w:cs="Arial" w:eastAsia="Arial" w:hAnsi="Arial"/>
          <w:b w:val="1"/>
          <w:highlight w:val="white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_____________________________________________________________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Arial" w:cs="Arial" w:eastAsia="Arial" w:hAnsi="Arial"/>
          <w:i w:val="1"/>
          <w:sz w:val="18"/>
          <w:szCs w:val="18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18"/>
          <w:szCs w:val="18"/>
          <w:highlight w:val="white"/>
          <w:rtl w:val="0"/>
        </w:rPr>
        <w:t xml:space="preserve">Sobre a Toyota do Brasil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Arial" w:cs="Arial" w:eastAsia="Arial" w:hAnsi="Arial"/>
          <w:i w:val="1"/>
          <w:sz w:val="18"/>
          <w:szCs w:val="18"/>
          <w:highlight w:val="white"/>
        </w:rPr>
      </w:pPr>
      <w:r w:rsidDel="00000000" w:rsidR="00000000" w:rsidRPr="00000000">
        <w:rPr>
          <w:rFonts w:ascii="Arial" w:cs="Arial" w:eastAsia="Arial" w:hAnsi="Arial"/>
          <w:i w:val="1"/>
          <w:sz w:val="18"/>
          <w:szCs w:val="18"/>
          <w:highlight w:val="white"/>
          <w:rtl w:val="0"/>
        </w:rPr>
        <w:t xml:space="preserve">A Toyota do Brasil está presente no País há 66 anos. Possui três unidades produtivas, localizadas em Indaiatuba, Sorocaba e Porto Feliz, todas no Estado de São Paulo, e emprega cerca de 6 mil pessoas. A Toyota é a montadora líder em eletrificação no mundo: desde 1997 já foram comercializados mais de 20 milhões de automóveis mais limpos, sejam modelos híbridos, híbridos flex, híbridos </w:t>
      </w:r>
      <w:r w:rsidDel="00000000" w:rsidR="00000000" w:rsidRPr="00000000">
        <w:rPr>
          <w:rFonts w:ascii="Arial" w:cs="Arial" w:eastAsia="Arial" w:hAnsi="Arial"/>
          <w:sz w:val="18"/>
          <w:szCs w:val="18"/>
          <w:highlight w:val="white"/>
          <w:rtl w:val="0"/>
        </w:rPr>
        <w:t xml:space="preserve">plug-in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highlight w:val="white"/>
          <w:rtl w:val="0"/>
        </w:rPr>
        <w:t xml:space="preserve">, 100% a bateria ou movidos a hidrogênio. Com o objetivo de impulsionar a eletrificação da frota de veículos no Brasil, em 2013, a Toyota lançou o primeiro veículo híbrido em nosso país, o Toyota Prius. Em 2019 a companhia foi além, inovando mais uma vez para oferecer o único híbrido flex do mundo – fabricado com exclusividade no mercado brasileiro –, o Corolla Sedã, e, em 2021, o primeiro SUV híbrido flex do mercado, o Corolla Cross, também fabricado no País. Atualmente, já são mais de 70 mil carros eletrificados com a tecnologia híbrido flex em circulação pelo Brasil. Em 2020, lançou a KINTO, sua nova empresa de mobilidade, para oferecer serviços como aluguel de carros e gestão de frotas a uma sociedade em transformação. Também reforçou sua marca GAZOO, por meio de iniciativas que desafiam a excelência de seus veículos. Tem como missão produzir felicidade para todas as pessoas (“</w:t>
      </w:r>
      <w:r w:rsidDel="00000000" w:rsidR="00000000" w:rsidRPr="00000000">
        <w:rPr>
          <w:rFonts w:ascii="Arial" w:cs="Arial" w:eastAsia="Arial" w:hAnsi="Arial"/>
          <w:sz w:val="18"/>
          <w:szCs w:val="18"/>
          <w:highlight w:val="white"/>
          <w:rtl w:val="0"/>
        </w:rPr>
        <w:t xml:space="preserve">Happiness for All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highlight w:val="white"/>
          <w:rtl w:val="0"/>
        </w:rPr>
        <w:t xml:space="preserve">”) e, para tanto, está comprometida em desenvolver carros cada vez melhores e mais seguros, além de avançar nas soluções de mobilidade. Junto com a Fundação Toyota do Brasil, tem iniciativas que repercutem nos 17 Objetivos de Desenvolvimento Sustentável da ONU. Mais informações:</w:t>
      </w:r>
      <w:hyperlink r:id="rId10">
        <w:r w:rsidDel="00000000" w:rsidR="00000000" w:rsidRPr="00000000">
          <w:rPr>
            <w:rFonts w:ascii="Arial" w:cs="Arial" w:eastAsia="Arial" w:hAnsi="Arial"/>
            <w:i w:val="1"/>
            <w:sz w:val="18"/>
            <w:szCs w:val="18"/>
            <w:highlight w:val="white"/>
            <w:rtl w:val="0"/>
          </w:rPr>
          <w:t xml:space="preserve"> </w:t>
        </w:r>
      </w:hyperlink>
      <w:hyperlink r:id="rId11">
        <w:r w:rsidDel="00000000" w:rsidR="00000000" w:rsidRPr="00000000">
          <w:rPr>
            <w:rFonts w:ascii="Arial" w:cs="Arial" w:eastAsia="Arial" w:hAnsi="Arial"/>
            <w:i w:val="1"/>
            <w:sz w:val="18"/>
            <w:szCs w:val="18"/>
            <w:highlight w:val="white"/>
            <w:u w:val="single"/>
            <w:rtl w:val="0"/>
          </w:rPr>
          <w:t xml:space="preserve">Toyota Global</w:t>
        </w:r>
      </w:hyperlink>
      <w:r w:rsidDel="00000000" w:rsidR="00000000" w:rsidRPr="00000000">
        <w:rPr>
          <w:rFonts w:ascii="Arial" w:cs="Arial" w:eastAsia="Arial" w:hAnsi="Arial"/>
          <w:i w:val="1"/>
          <w:sz w:val="18"/>
          <w:szCs w:val="18"/>
          <w:highlight w:val="white"/>
          <w:rtl w:val="0"/>
        </w:rPr>
        <w:t xml:space="preserve"> e</w:t>
      </w:r>
      <w:hyperlink r:id="rId12">
        <w:r w:rsidDel="00000000" w:rsidR="00000000" w:rsidRPr="00000000">
          <w:rPr>
            <w:rFonts w:ascii="Arial" w:cs="Arial" w:eastAsia="Arial" w:hAnsi="Arial"/>
            <w:i w:val="1"/>
            <w:sz w:val="18"/>
            <w:szCs w:val="18"/>
            <w:highlight w:val="white"/>
            <w:rtl w:val="0"/>
          </w:rPr>
          <w:t xml:space="preserve"> </w:t>
        </w:r>
      </w:hyperlink>
      <w:hyperlink r:id="rId13">
        <w:r w:rsidDel="00000000" w:rsidR="00000000" w:rsidRPr="00000000">
          <w:rPr>
            <w:rFonts w:ascii="Arial" w:cs="Arial" w:eastAsia="Arial" w:hAnsi="Arial"/>
            <w:i w:val="1"/>
            <w:sz w:val="18"/>
            <w:szCs w:val="18"/>
            <w:highlight w:val="white"/>
            <w:u w:val="single"/>
            <w:rtl w:val="0"/>
          </w:rPr>
          <w:t xml:space="preserve">Toyota do Brasil</w:t>
        </w:r>
      </w:hyperlink>
      <w:r w:rsidDel="00000000" w:rsidR="00000000" w:rsidRPr="00000000">
        <w:rPr>
          <w:rFonts w:ascii="Arial" w:cs="Arial" w:eastAsia="Arial" w:hAnsi="Arial"/>
          <w:i w:val="1"/>
          <w:sz w:val="18"/>
          <w:szCs w:val="18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15">
      <w:pPr>
        <w:spacing w:after="240" w:before="240" w:line="360" w:lineRule="auto"/>
        <w:jc w:val="both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Mais informações</w:t>
      </w:r>
    </w:p>
    <w:p w:rsidR="00000000" w:rsidDel="00000000" w:rsidP="00000000" w:rsidRDefault="00000000" w:rsidRPr="00000000" w14:paraId="00000016">
      <w:pPr>
        <w:spacing w:after="240" w:before="240" w:line="360" w:lineRule="auto"/>
        <w:jc w:val="both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Toyota do Brasil – Departamento de Comunicação</w:t>
      </w:r>
    </w:p>
    <w:p w:rsidR="00000000" w:rsidDel="00000000" w:rsidP="00000000" w:rsidRDefault="00000000" w:rsidRPr="00000000" w14:paraId="00000017">
      <w:pPr>
        <w:spacing w:after="240" w:before="240" w:line="360" w:lineRule="auto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Kelly Buarque – </w:t>
      </w:r>
      <w:r w:rsidDel="00000000" w:rsidR="00000000" w:rsidRPr="00000000">
        <w:rPr>
          <w:rFonts w:ascii="Arial" w:cs="Arial" w:eastAsia="Arial" w:hAnsi="Arial"/>
          <w:highlight w:val="white"/>
          <w:u w:val="single"/>
          <w:rtl w:val="0"/>
        </w:rPr>
        <w:t xml:space="preserve">kbuarque@toyota.com.br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after="240" w:before="240" w:line="360" w:lineRule="auto"/>
        <w:jc w:val="both"/>
        <w:rPr>
          <w:rFonts w:ascii="Arial" w:cs="Arial" w:eastAsia="Arial" w:hAnsi="Arial"/>
          <w:highlight w:val="white"/>
          <w:u w:val="singl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Kessia Santos – </w:t>
      </w:r>
      <w:hyperlink r:id="rId14">
        <w:r w:rsidDel="00000000" w:rsidR="00000000" w:rsidRPr="00000000">
          <w:rPr>
            <w:rFonts w:ascii="Arial" w:cs="Arial" w:eastAsia="Arial" w:hAnsi="Arial"/>
            <w:highlight w:val="white"/>
            <w:u w:val="single"/>
            <w:rtl w:val="0"/>
          </w:rPr>
          <w:t xml:space="preserve">kosantos@toyota.com.br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="360" w:lineRule="auto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after="240" w:before="240" w:line="360" w:lineRule="auto"/>
        <w:jc w:val="both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RPMA Comunicação</w:t>
      </w:r>
    </w:p>
    <w:p w:rsidR="00000000" w:rsidDel="00000000" w:rsidP="00000000" w:rsidRDefault="00000000" w:rsidRPr="00000000" w14:paraId="0000001B">
      <w:pPr>
        <w:spacing w:after="240" w:before="240" w:line="360" w:lineRule="auto"/>
        <w:jc w:val="both"/>
        <w:rPr>
          <w:rFonts w:ascii="Arial" w:cs="Arial" w:eastAsia="Arial" w:hAnsi="Arial"/>
          <w:highlight w:val="white"/>
          <w:u w:val="single"/>
        </w:rPr>
      </w:pPr>
      <w:r w:rsidDel="00000000" w:rsidR="00000000" w:rsidRPr="00000000">
        <w:rPr>
          <w:rFonts w:ascii="Arial" w:cs="Arial" w:eastAsia="Arial" w:hAnsi="Arial"/>
          <w:highlight w:val="white"/>
          <w:u w:val="single"/>
          <w:rtl w:val="0"/>
        </w:rPr>
        <w:t xml:space="preserve">toyota@rpmacomunicacao.com.br </w:t>
      </w:r>
    </w:p>
    <w:p w:rsidR="00000000" w:rsidDel="00000000" w:rsidP="00000000" w:rsidRDefault="00000000" w:rsidRPr="00000000" w14:paraId="0000001C">
      <w:pPr>
        <w:spacing w:after="240" w:before="240" w:line="360" w:lineRule="auto"/>
        <w:jc w:val="both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Guilherme Magna – (11) 98600-8988</w:t>
      </w:r>
    </w:p>
    <w:p w:rsidR="00000000" w:rsidDel="00000000" w:rsidP="00000000" w:rsidRDefault="00000000" w:rsidRPr="00000000" w14:paraId="0000001D">
      <w:pPr>
        <w:spacing w:after="240" w:before="240" w:line="360" w:lineRule="auto"/>
        <w:jc w:val="both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Leonardo de Araujo – (11) 96084-0473</w:t>
      </w:r>
    </w:p>
    <w:p w:rsidR="00000000" w:rsidDel="00000000" w:rsidP="00000000" w:rsidRDefault="00000000" w:rsidRPr="00000000" w14:paraId="0000001E">
      <w:pPr>
        <w:spacing w:after="240" w:before="240" w:line="360" w:lineRule="auto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Henrique Carmo – (11) 98058-6298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before="240" w:line="360" w:lineRule="auto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1993900</wp:posOffset>
              </wp:positionH>
              <wp:positionV relativeFrom="paragraph">
                <wp:posOffset>0</wp:posOffset>
              </wp:positionV>
              <wp:extent cx="805815" cy="805815"/>
              <wp:effectExtent b="0" l="0" r="0" t="0"/>
              <wp:wrapSquare wrapText="bothSides" distB="0" distT="0" distL="0" distR="0"/>
              <wp:docPr descr="• PUBLIC 公開" id="176913070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1.00000381469727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UI Gothic" w:cs="MS UI Gothic" w:eastAsia="MS UI Gothic" w:hAnsi="MS UI Gothic"/>
                              <w:b w:val="0"/>
                              <w:i w:val="0"/>
                              <w:smallCaps w:val="0"/>
                              <w:strike w:val="0"/>
                              <w:color w:val="008000"/>
                              <w:sz w:val="20"/>
                              <w:vertAlign w:val="baseline"/>
                            </w:rPr>
                            <w:t xml:space="preserve">• PUBLIC 公開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1993900</wp:posOffset>
              </wp:positionH>
              <wp:positionV relativeFrom="paragraph">
                <wp:posOffset>0</wp:posOffset>
              </wp:positionV>
              <wp:extent cx="805815" cy="805815"/>
              <wp:effectExtent b="0" l="0" r="0" t="0"/>
              <wp:wrapSquare wrapText="bothSides" distB="0" distT="0" distL="0" distR="0"/>
              <wp:docPr descr="• PUBLIC 公開" id="1769130707" name="image7.png"/>
              <a:graphic>
                <a:graphicData uri="http://schemas.openxmlformats.org/drawingml/2006/picture">
                  <pic:pic>
                    <pic:nvPicPr>
                      <pic:cNvPr descr="• PUBLIC 公開" id="0" name="image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05815" cy="8058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>
        <w:rtl w:val="0"/>
      </w:rPr>
      <w:t xml:space="preserve">                                                                                                     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4647255</wp:posOffset>
          </wp:positionH>
          <wp:positionV relativeFrom="paragraph">
            <wp:posOffset>-199982</wp:posOffset>
          </wp:positionV>
          <wp:extent cx="757237" cy="555307"/>
          <wp:effectExtent b="0" l="0" r="0" t="0"/>
          <wp:wrapSquare wrapText="bothSides" distB="114300" distT="114300" distL="114300" distR="114300"/>
          <wp:docPr id="176913071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7237" cy="55530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-70431</wp:posOffset>
          </wp:positionH>
          <wp:positionV relativeFrom="paragraph">
            <wp:posOffset>-116138</wp:posOffset>
          </wp:positionV>
          <wp:extent cx="1468755" cy="467995"/>
          <wp:effectExtent b="0" l="0" r="0" t="0"/>
          <wp:wrapNone/>
          <wp:docPr id="17691307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68755" cy="46799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  <w:t xml:space="preserve">     </w: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1993900</wp:posOffset>
              </wp:positionH>
              <wp:positionV relativeFrom="paragraph">
                <wp:posOffset>0</wp:posOffset>
              </wp:positionV>
              <wp:extent cx="805815" cy="805815"/>
              <wp:effectExtent b="0" l="0" r="0" t="0"/>
              <wp:wrapSquare wrapText="bothSides" distB="0" distT="0" distL="0" distR="0"/>
              <wp:docPr descr="• PUBLIC 公開" id="1769130706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1.00000381469727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UI Gothic" w:cs="MS UI Gothic" w:eastAsia="MS UI Gothic" w:hAnsi="MS UI Gothic"/>
                              <w:b w:val="0"/>
                              <w:i w:val="0"/>
                              <w:smallCaps w:val="0"/>
                              <w:strike w:val="0"/>
                              <w:color w:val="008000"/>
                              <w:sz w:val="20"/>
                              <w:vertAlign w:val="baseline"/>
                            </w:rPr>
                            <w:t xml:space="preserve">• PUBLIC 公開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1993900</wp:posOffset>
              </wp:positionH>
              <wp:positionV relativeFrom="paragraph">
                <wp:posOffset>0</wp:posOffset>
              </wp:positionV>
              <wp:extent cx="805815" cy="805815"/>
              <wp:effectExtent b="0" l="0" r="0" t="0"/>
              <wp:wrapSquare wrapText="bothSides" distB="0" distT="0" distL="0" distR="0"/>
              <wp:docPr descr="• PUBLIC 公開" id="1769130706" name="image6.png"/>
              <a:graphic>
                <a:graphicData uri="http://schemas.openxmlformats.org/drawingml/2006/picture">
                  <pic:pic>
                    <pic:nvPicPr>
                      <pic:cNvPr descr="• PUBLIC 公開"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05815" cy="8058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2.00000000000003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52" w:customStyle="1">
    <w:name w:val="Table Normal52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1" w:customStyle="1">
    <w:name w:val="Table Normal5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0" w:customStyle="1">
    <w:name w:val="Table Normal50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9" w:customStyle="1">
    <w:name w:val="Table Normal49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8" w:customStyle="1">
    <w:name w:val="Table Normal48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7" w:customStyle="1">
    <w:name w:val="Table Normal47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6" w:customStyle="1">
    <w:name w:val="Table Normal46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5" w:customStyle="1">
    <w:name w:val="Table Normal45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4" w:customStyle="1">
    <w:name w:val="Table Normal44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3" w:customStyle="1">
    <w:name w:val="Table Normal43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2" w:customStyle="1">
    <w:name w:val="Table Normal42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1" w:customStyle="1">
    <w:name w:val="Table Normal4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0" w:customStyle="1">
    <w:name w:val="Table Normal40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9" w:customStyle="1">
    <w:name w:val="Table Normal39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8" w:customStyle="1">
    <w:name w:val="Table Normal38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7" w:customStyle="1">
    <w:name w:val="Table Normal37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6" w:customStyle="1">
    <w:name w:val="Table Normal36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5" w:customStyle="1">
    <w:name w:val="Table Normal35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4" w:customStyle="1">
    <w:name w:val="Table Normal34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3" w:customStyle="1">
    <w:name w:val="Table Normal33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2" w:customStyle="1">
    <w:name w:val="Table Normal32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1" w:customStyle="1">
    <w:name w:val="Table Normal3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0" w:customStyle="1">
    <w:name w:val="Table Normal30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9" w:customStyle="1">
    <w:name w:val="Table Normal29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8" w:customStyle="1">
    <w:name w:val="Table Normal28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7" w:customStyle="1">
    <w:name w:val="Table Normal27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6" w:customStyle="1">
    <w:name w:val="Table Normal26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5" w:customStyle="1">
    <w:name w:val="Table Normal25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4" w:customStyle="1">
    <w:name w:val="Table Normal24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3" w:customStyle="1">
    <w:name w:val="Table Normal23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2" w:customStyle="1">
    <w:name w:val="Table Normal22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1" w:customStyle="1">
    <w:name w:val="Table Normal2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0" w:customStyle="1">
    <w:name w:val="Table Normal20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9" w:customStyle="1">
    <w:name w:val="Table Normal19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8" w:customStyle="1">
    <w:name w:val="Table Normal18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7" w:customStyle="1">
    <w:name w:val="Table Normal17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6" w:customStyle="1">
    <w:name w:val="Table Normal16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5" w:customStyle="1">
    <w:name w:val="Table Normal15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4" w:customStyle="1">
    <w:name w:val="Table Normal14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3" w:customStyle="1">
    <w:name w:val="Table Normal13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2" w:customStyle="1">
    <w:name w:val="Table Normal12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1" w:customStyle="1">
    <w:name w:val="Table Normal1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0" w:customStyle="1">
    <w:name w:val="Table Normal10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9" w:customStyle="1">
    <w:name w:val="Table Normal9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8" w:customStyle="1">
    <w:name w:val="Table Normal8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7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6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5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4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3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2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 w:val="1"/>
    <w:rsid w:val="00340054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340054"/>
  </w:style>
  <w:style w:type="paragraph" w:styleId="Rodap">
    <w:name w:val="footer"/>
    <w:basedOn w:val="Normal"/>
    <w:link w:val="RodapChar"/>
    <w:uiPriority w:val="99"/>
    <w:unhideWhenUsed w:val="1"/>
    <w:rsid w:val="00340054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340054"/>
  </w:style>
  <w:style w:type="paragraph" w:styleId="PargrafodaLista">
    <w:name w:val="List Paragraph"/>
    <w:basedOn w:val="Normal"/>
    <w:uiPriority w:val="34"/>
    <w:qFormat w:val="1"/>
    <w:rsid w:val="00FE679A"/>
    <w:pPr>
      <w:ind w:left="720"/>
      <w:contextualSpacing w:val="1"/>
    </w:p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FE679A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FE679A"/>
    <w:rPr>
      <w:rFonts w:ascii="Segoe UI" w:cs="Segoe UI" w:hAnsi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491CD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491CD6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491CD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491CD6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491CD6"/>
    <w:rPr>
      <w:b w:val="1"/>
      <w:bCs w:val="1"/>
      <w:sz w:val="20"/>
      <w:szCs w:val="20"/>
    </w:rPr>
  </w:style>
  <w:style w:type="paragraph" w:styleId="NormalWeb">
    <w:name w:val="Normal (Web)"/>
    <w:basedOn w:val="Normal"/>
    <w:uiPriority w:val="99"/>
    <w:unhideWhenUsed w:val="1"/>
    <w:rsid w:val="00331BE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 w:val="1"/>
    <w:rsid w:val="00331BE4"/>
    <w:rPr>
      <w:b w:val="1"/>
      <w:bCs w:val="1"/>
    </w:rPr>
  </w:style>
  <w:style w:type="character" w:styleId="Hyperlink">
    <w:name w:val="Hyperlink"/>
    <w:basedOn w:val="Fontepargpadro"/>
    <w:uiPriority w:val="99"/>
    <w:unhideWhenUsed w:val="1"/>
    <w:rsid w:val="00331BE4"/>
    <w:rPr>
      <w:color w:val="0000ff"/>
      <w:u w:val="single"/>
    </w:rPr>
  </w:style>
  <w:style w:type="character" w:styleId="nfase">
    <w:name w:val="Emphasis"/>
    <w:basedOn w:val="Fontepargpadro"/>
    <w:uiPriority w:val="20"/>
    <w:qFormat w:val="1"/>
    <w:rsid w:val="00C47BCD"/>
    <w:rPr>
      <w:i w:val="1"/>
      <w:iCs w:val="1"/>
    </w:rPr>
  </w:style>
  <w:style w:type="character" w:styleId="MenoPendente1" w:customStyle="1">
    <w:name w:val="Menção Pendente1"/>
    <w:basedOn w:val="Fontepargpadro"/>
    <w:uiPriority w:val="99"/>
    <w:semiHidden w:val="1"/>
    <w:unhideWhenUsed w:val="1"/>
    <w:rsid w:val="00D269DC"/>
    <w:rPr>
      <w:color w:val="605e5c"/>
      <w:shd w:color="auto" w:fill="e1dfdd" w:val="clear"/>
    </w:rPr>
  </w:style>
  <w:style w:type="paragraph" w:styleId="Reviso">
    <w:name w:val="Revision"/>
    <w:hidden w:val="1"/>
    <w:uiPriority w:val="99"/>
    <w:semiHidden w:val="1"/>
    <w:rsid w:val="00BE7AAB"/>
    <w:pPr>
      <w:spacing w:after="0" w:line="240" w:lineRule="auto"/>
    </w:pPr>
  </w:style>
  <w:style w:type="character" w:styleId="MenoPendente2" w:customStyle="1">
    <w:name w:val="Menção Pendente2"/>
    <w:basedOn w:val="Fontepargpadro"/>
    <w:uiPriority w:val="99"/>
    <w:semiHidden w:val="1"/>
    <w:unhideWhenUsed w:val="1"/>
    <w:rsid w:val="008275AB"/>
    <w:rPr>
      <w:color w:val="605e5c"/>
      <w:shd w:color="auto" w:fill="e1dfdd" w:val="clear"/>
    </w:rPr>
  </w:style>
  <w:style w:type="character" w:styleId="MenoPendente3" w:customStyle="1">
    <w:name w:val="Menção Pendente3"/>
    <w:basedOn w:val="Fontepargpadro"/>
    <w:uiPriority w:val="99"/>
    <w:semiHidden w:val="1"/>
    <w:unhideWhenUsed w:val="1"/>
    <w:rsid w:val="002E5B26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toyota-global.com" TargetMode="External"/><Relationship Id="rId10" Type="http://schemas.openxmlformats.org/officeDocument/2006/relationships/hyperlink" Target="https://www.toyota-global.com" TargetMode="External"/><Relationship Id="rId13" Type="http://schemas.openxmlformats.org/officeDocument/2006/relationships/hyperlink" Target="https://www.toyota.com.br" TargetMode="External"/><Relationship Id="rId12" Type="http://schemas.openxmlformats.org/officeDocument/2006/relationships/hyperlink" Target="https://www.toyota.com.br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15" Type="http://schemas.openxmlformats.org/officeDocument/2006/relationships/header" Target="header2.xml"/><Relationship Id="rId14" Type="http://schemas.openxmlformats.org/officeDocument/2006/relationships/hyperlink" Target="mailto:kosantos@toyota.com.br" TargetMode="External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2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0vX19+dCnJePdU14pnoKMDAHJQ==">CgMxLjAyCGguZ2pkZ3hzMgloLjMwajB6bGw4AHIhMS1XU1drWXBGcTFmQUthWlY2dHZmWWtDVEpmUWJRUG1J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2024-02-23T11:24:00Z</dcterms:created>
  <dc:creator>fernando.irribarra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#008000,10,MS UI Gothic</vt:lpwstr>
  </property>
  <property fmtid="{D5CDD505-2E9C-101B-9397-08002B2CF9AE}" pid="4" name="ClassificationContentMarkingHeaderText">
    <vt:lpwstr>• PUBLIC 公開</vt:lpwstr>
  </property>
  <property fmtid="{D5CDD505-2E9C-101B-9397-08002B2CF9AE}" pid="5" name="MSIP_Label_023e975b-7b34-49da-9033-9c8f8f7bcde3_Enabled">
    <vt:lpwstr>true</vt:lpwstr>
  </property>
  <property fmtid="{D5CDD505-2E9C-101B-9397-08002B2CF9AE}" pid="6" name="MSIP_Label_023e975b-7b34-49da-9033-9c8f8f7bcde3_SetDate">
    <vt:lpwstr>2022-06-01T17:14:08Z</vt:lpwstr>
  </property>
  <property fmtid="{D5CDD505-2E9C-101B-9397-08002B2CF9AE}" pid="7" name="MSIP_Label_023e975b-7b34-49da-9033-9c8f8f7bcde3_Method">
    <vt:lpwstr>Privileged</vt:lpwstr>
  </property>
  <property fmtid="{D5CDD505-2E9C-101B-9397-08002B2CF9AE}" pid="8" name="MSIP_Label_023e975b-7b34-49da-9033-9c8f8f7bcde3_Name">
    <vt:lpwstr>Public 公開</vt:lpwstr>
  </property>
  <property fmtid="{D5CDD505-2E9C-101B-9397-08002B2CF9AE}" pid="9" name="MSIP_Label_023e975b-7b34-49da-9033-9c8f8f7bcde3_SiteId">
    <vt:lpwstr>3855fb14-c221-4399-b3f8-97d96a4ce45d</vt:lpwstr>
  </property>
  <property fmtid="{D5CDD505-2E9C-101B-9397-08002B2CF9AE}" pid="10" name="MSIP_Label_023e975b-7b34-49da-9033-9c8f8f7bcde3_ActionId">
    <vt:lpwstr>99fc1fa2-5bfd-4d6d-900e-54aa88779821</vt:lpwstr>
  </property>
  <property fmtid="{D5CDD505-2E9C-101B-9397-08002B2CF9AE}" pid="11" name="MSIP_Label_023e975b-7b34-49da-9033-9c8f8f7bcde3_ContentBits">
    <vt:lpwstr>1</vt:lpwstr>
  </property>
  <property fmtid="{D5CDD505-2E9C-101B-9397-08002B2CF9AE}" pid="12" name="MSIP_Label_023e975b-7b34-49da-9033-9c8f8f7bcde3_SiteId">
    <vt:lpwstr>3855fb14-c221-4399-b3f8-97d96a4ce45d</vt:lpwstr>
  </property>
  <property fmtid="{D5CDD505-2E9C-101B-9397-08002B2CF9AE}" pid="13" name="MSIP_Label_023e975b-7b34-49da-9033-9c8f8f7bcde3_ActionId">
    <vt:lpwstr>99fc1fa2-5bfd-4d6d-900e-54aa88779821</vt:lpwstr>
  </property>
  <property fmtid="{D5CDD505-2E9C-101B-9397-08002B2CF9AE}" pid="14" name="ClassificationContentMarkingHeaderFontProps">
    <vt:lpwstr>#008000,10,MS UI Gothic</vt:lpwstr>
  </property>
  <property fmtid="{D5CDD505-2E9C-101B-9397-08002B2CF9AE}" pid="15" name="ClassificationContentMarkingHeaderText">
    <vt:lpwstr>• PUBLIC 公開</vt:lpwstr>
  </property>
  <property fmtid="{D5CDD505-2E9C-101B-9397-08002B2CF9AE}" pid="16" name="MSIP_Label_023e975b-7b34-49da-9033-9c8f8f7bcde3_Name">
    <vt:lpwstr>Public 公開</vt:lpwstr>
  </property>
  <property fmtid="{D5CDD505-2E9C-101B-9397-08002B2CF9AE}" pid="17" name="MSIP_Label_023e975b-7b34-49da-9033-9c8f8f7bcde3_Method">
    <vt:lpwstr>Privileged</vt:lpwstr>
  </property>
  <property fmtid="{D5CDD505-2E9C-101B-9397-08002B2CF9AE}" pid="18" name="MSIP_Label_023e975b-7b34-49da-9033-9c8f8f7bcde3_SetDate">
    <vt:lpwstr>2022-06-01T17:14:08Z</vt:lpwstr>
  </property>
  <property fmtid="{D5CDD505-2E9C-101B-9397-08002B2CF9AE}" pid="19" name="MSIP_Label_023e975b-7b34-49da-9033-9c8f8f7bcde3_ContentBits">
    <vt:lpwstr>1</vt:lpwstr>
  </property>
  <property fmtid="{D5CDD505-2E9C-101B-9397-08002B2CF9AE}" pid="20" name="MSIP_Label_023e975b-7b34-49da-9033-9c8f8f7bcde3_Enabled">
    <vt:lpwstr>true</vt:lpwstr>
  </property>
  <property fmtid="{D5CDD505-2E9C-101B-9397-08002B2CF9AE}" pid="21" name="ClassificationContentMarkingHeaderShapeIds">
    <vt:lpwstr>1,2,3</vt:lpwstr>
  </property>
</Properties>
</file>