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284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participa do ‘SXSW’, maior evento de inovação do mundo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• O evento acontece de 8 a 16 de março, em Austin, nos EUA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• Tecnologia e inovação serão eixos de discussão da companhia, em parceria com a Casa São Paulo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color w:val="50005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São Paulo, 8 de março de 2024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 Toyota do Brasil é uma das patrocinadoras oficiais da Casa São Paulo, que vai levar uma ação inédita à edição 2024 do South by Southwest (SXSW), maior evento de inovação do mundo que acontece entre os dias 8 e 16 de março, em Austin, nos EUA.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objetivo é apoiar a promoção do Brasil como o principal polo de inovação e economia criativa da América Latina, além de compartilhar as apostas da Toyota para uma jornada sustentável.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oportunidade, a companhia apresentará os avanços tecnológicos promovidos ao longo dos anos e que influenciam o desenvolvimento de novos veículos até hoje. Entre eles, o pioneirismo da tecnologia híbrida flex, que impulsiona a eletrificação da frota de veículos brasileira com possibilidade de uso dos biocombustíveis, o que contribui com as metas de descarbonização do país.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Desta forma, a Toyota reforça seu compromisso com a tecnologia sustentável e a inovação automotiva, oferecendo opções de mobilidade mais limpas e eficientes para os consumidores.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“A Toyota é a montadora líder em eletrificação no mundo com mais de 20 milhões de automóveis mais limpos comercializados. Neste espaço, teremos oportunidade de compartilhar o nosso compromisso com a sustentabilidade e a inovação tecnológica mundial que impacta positivamente a vida das pessoas”, destaca Roberto Braun, diretor de Comunicação da Toyota do Brasil e presidente da Fundação Toyota.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programação da Casa São Paulo discutirá os temas de sustentabilidade, tecnologia e inovação, que serão transversais a todas as atividades do espaço, que também vai oferecer palestras, workshops, eventos de networking e ações com o apoio de marcas parceiras.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espaço terá capacidade para receber pelo menos 5 mil pessoas e funcionará como um hub para visitantes de todo o mundo.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Objetivos de Desenvolvimento Sustentável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1343978" cy="1343978"/>
            <wp:effectExtent b="0" l="0" r="0" t="0"/>
            <wp:docPr id="26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978" cy="13439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1372553" cy="1372553"/>
            <wp:effectExtent b="0" l="0" r="0" t="0"/>
            <wp:docPr id="26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2553" cy="13725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1382078" cy="1382078"/>
            <wp:effectExtent b="0" l="0" r="0" t="0"/>
            <wp:docPr id="26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2078" cy="13820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50005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Calibri" w:cs="Calibri" w:eastAsia="Calibri" w:hAnsi="Calibri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8"/>
          <w:szCs w:val="18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Calibri" w:cs="Calibri" w:eastAsia="Calibri" w:hAnsi="Calibri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highlight w:val="white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rtl w:val="0"/>
        </w:rPr>
        <w:t xml:space="preserve">plug-in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highlight w:val="white"/>
          <w:rtl w:val="0"/>
        </w:rPr>
        <w:t xml:space="preserve">, 100% a bateria ou movidos a hidrogênio. 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70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 w:rsidDel="00000000" w:rsidR="00000000" w:rsidRPr="00000000">
        <w:rPr>
          <w:rFonts w:ascii="Calibri" w:cs="Calibri" w:eastAsia="Calibri" w:hAnsi="Calibri"/>
          <w:sz w:val="18"/>
          <w:szCs w:val="18"/>
          <w:highlight w:val="white"/>
          <w:rtl w:val="0"/>
        </w:rPr>
        <w:t xml:space="preserve">Happiness for All</w:t>
      </w: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highlight w:val="white"/>
          <w:rtl w:val="0"/>
        </w:rPr>
        <w:t xml:space="preserve"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10">
        <w:r w:rsidDel="00000000" w:rsidR="00000000" w:rsidRPr="00000000">
          <w:rPr>
            <w:rFonts w:ascii="Calibri" w:cs="Calibri" w:eastAsia="Calibri" w:hAnsi="Calibri"/>
            <w:i w:val="1"/>
            <w:sz w:val="18"/>
            <w:szCs w:val="18"/>
            <w:highlight w:val="white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i w:val="1"/>
            <w:sz w:val="18"/>
            <w:szCs w:val="18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highlight w:val="white"/>
          <w:rtl w:val="0"/>
        </w:rPr>
        <w:t xml:space="preserve"> e</w:t>
      </w:r>
      <w:hyperlink r:id="rId12">
        <w:r w:rsidDel="00000000" w:rsidR="00000000" w:rsidRPr="00000000">
          <w:rPr>
            <w:rFonts w:ascii="Calibri" w:cs="Calibri" w:eastAsia="Calibri" w:hAnsi="Calibri"/>
            <w:i w:val="1"/>
            <w:sz w:val="18"/>
            <w:szCs w:val="18"/>
            <w:highlight w:val="white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i w:val="1"/>
            <w:sz w:val="18"/>
            <w:szCs w:val="18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Kelly Buarque –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Kessia Santos – </w:t>
      </w:r>
      <w:hyperlink r:id="rId14">
        <w:r w:rsidDel="00000000" w:rsidR="00000000" w:rsidRPr="00000000">
          <w:rPr>
            <w:rFonts w:ascii="Calibri" w:cs="Calibri" w:eastAsia="Calibri" w:hAnsi="Calibri"/>
            <w:sz w:val="24"/>
            <w:szCs w:val="24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Giusti Creative PR 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toyota@giusticom.com.br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Ana Carolina Cachoni – (11)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99394-8200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-199983</wp:posOffset>
          </wp:positionV>
          <wp:extent cx="757237" cy="555307"/>
          <wp:effectExtent b="0" l="0" r="0" t="0"/>
          <wp:wrapSquare wrapText="bothSides" distB="114300" distT="114300" distL="114300" distR="114300"/>
          <wp:docPr id="2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26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264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290" cy="796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26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263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290" cy="796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52" w:customStyle="1">
    <w:name w:val="Table Normal5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1" w:customStyle="1">
    <w:name w:val="Table Normal5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" w:customStyle="1">
    <w:name w:val="Table Normal5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9" w:customStyle="1">
    <w:name w:val="Table Normal4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8" w:customStyle="1">
    <w:name w:val="Table Normal4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7" w:customStyle="1">
    <w:name w:val="Table Normal4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6" w:customStyle="1">
    <w:name w:val="Table Normal4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5" w:customStyle="1">
    <w:name w:val="Table Normal4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4" w:customStyle="1">
    <w:name w:val="Table Normal4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3" w:customStyle="1">
    <w:name w:val="Table Normal4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2" w:customStyle="1">
    <w:name w:val="Table Normal4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" w:customStyle="1">
    <w:name w:val="Table Normal4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" w:customStyle="1">
    <w:name w:val="Table Normal3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" w:customStyle="1">
    <w:name w:val="Table Normal3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" w:customStyle="1">
    <w:name w:val="Table Normal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" w:customStyle="1">
    <w:name w:val="Table Normal3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-global.com" TargetMode="External"/><Relationship Id="rId10" Type="http://schemas.openxmlformats.org/officeDocument/2006/relationships/hyperlink" Target="https://www.toyota-global.com" TargetMode="External"/><Relationship Id="rId13" Type="http://schemas.openxmlformats.org/officeDocument/2006/relationships/hyperlink" Target="https://www.toyota.com.br" TargetMode="External"/><Relationship Id="rId12" Type="http://schemas.openxmlformats.org/officeDocument/2006/relationships/hyperlink" Target="https://www.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eader" Target="header1.xml"/><Relationship Id="rId14" Type="http://schemas.openxmlformats.org/officeDocument/2006/relationships/hyperlink" Target="mailto:kosantos@toyota.com.br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uhEOHqIUS3A+3oBuHG5jIwApBw==">CgMxLjA4AHIhMU1GeHllRGFTQTJxampjSV9zZ3V5eVl4RFp1Mzh3Z3g3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2023-11-06T20:48:00Z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