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Hilux Weekend chega a Fortaleza</w:t>
      </w:r>
    </w:p>
    <w:p w:rsidR="00000000" w:rsidDel="00000000" w:rsidP="00000000" w:rsidRDefault="00000000" w:rsidRPr="00000000" w14:paraId="00000002">
      <w:pPr>
        <w:numPr>
          <w:ilvl w:val="0"/>
          <w:numId w:val="1"/>
        </w:numPr>
        <w:spacing w:after="0" w:before="240" w:line="360" w:lineRule="auto"/>
        <w:ind w:left="720" w:hanging="36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Participantes podem fazer ‘test-drive’ em percurso off-road exclusivo</w:t>
      </w:r>
    </w:p>
    <w:p w:rsidR="00000000" w:rsidDel="00000000" w:rsidP="00000000" w:rsidRDefault="00000000" w:rsidRPr="00000000" w14:paraId="00000003">
      <w:pPr>
        <w:numPr>
          <w:ilvl w:val="0"/>
          <w:numId w:val="1"/>
        </w:numPr>
        <w:spacing w:after="240" w:before="24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i w:val="1"/>
          <w:highlight w:val="white"/>
          <w:rtl w:val="0"/>
        </w:rPr>
        <w:t xml:space="preserve">Edição de Fortaleza acontece neste sábado e domingo </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 de março de 2024</w:t>
      </w:r>
      <w:r w:rsidDel="00000000" w:rsidR="00000000" w:rsidRPr="00000000">
        <w:rPr>
          <w:rFonts w:ascii="Arial" w:cs="Arial" w:eastAsia="Arial" w:hAnsi="Arial"/>
          <w:sz w:val="24"/>
          <w:szCs w:val="24"/>
          <w:rtl w:val="0"/>
        </w:rPr>
        <w:t xml:space="preserve"> – A Toyota do Brasil leva para o Ceará uma programação voltada aos fãs do mundo automotivo e amantes de aventuras: o Hilux Weekend. Trata-se de um evento colaborativo com concessionárias locais, onde a marca oferece uma experiência única aos seus clientes em um ambiente </w:t>
      </w:r>
      <w:r w:rsidDel="00000000" w:rsidR="00000000" w:rsidRPr="00000000">
        <w:rPr>
          <w:rFonts w:ascii="Arial" w:cs="Arial" w:eastAsia="Arial" w:hAnsi="Arial"/>
          <w:i w:val="1"/>
          <w:sz w:val="24"/>
          <w:szCs w:val="24"/>
          <w:rtl w:val="0"/>
        </w:rPr>
        <w:t xml:space="preserve">off-road</w:t>
      </w:r>
      <w:r w:rsidDel="00000000" w:rsidR="00000000" w:rsidRPr="00000000">
        <w:rPr>
          <w:rFonts w:ascii="Arial" w:cs="Arial" w:eastAsia="Arial" w:hAnsi="Arial"/>
          <w:sz w:val="24"/>
          <w:szCs w:val="24"/>
          <w:rtl w:val="0"/>
        </w:rPr>
        <w:t xml:space="preserve"> exclusivo durante os fins de semana. O próximo evento ocorrerá em Fortaleza, no sábado e domingo, das 10 às 17 horas, no Shopping Iguatemi Bosque.</w:t>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evento proporciona uma oportunidade para os clientes entenderem na prática a potência e robustez de pilotar uma Hilux em uma pista </w:t>
      </w:r>
      <w:r w:rsidDel="00000000" w:rsidR="00000000" w:rsidRPr="00000000">
        <w:rPr>
          <w:rFonts w:ascii="Arial" w:cs="Arial" w:eastAsia="Arial" w:hAnsi="Arial"/>
          <w:i w:val="1"/>
          <w:sz w:val="24"/>
          <w:szCs w:val="24"/>
          <w:rtl w:val="0"/>
        </w:rPr>
        <w:t xml:space="preserve">off-road</w:t>
      </w:r>
      <w:r w:rsidDel="00000000" w:rsidR="00000000" w:rsidRPr="00000000">
        <w:rPr>
          <w:rFonts w:ascii="Arial" w:cs="Arial" w:eastAsia="Arial" w:hAnsi="Arial"/>
          <w:sz w:val="24"/>
          <w:szCs w:val="24"/>
          <w:rtl w:val="0"/>
        </w:rPr>
        <w:t xml:space="preserve"> preparada para explorar ao máximo todos os atributos do modelo, sendo desafiados em uma trilha repleta de obstáculos.</w:t>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dos principais destaques será a Hilux GR-SPORT, lançada no ano passado, que traz mudanças significativas, como aprimoramentos na plataforma, que evoluiu e apresenta bitola mais larga (+155 mm na traseira e +140 mm na frente), nova suspensão com amortecedores monotubo, novos freios e mais potência em relação às demais versões do portfólio Hilux.</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Outro destaque presente é a Hilux SRX Plus, que chegou ao mercado com especial atenção às exigências dos clientes fiéis da Toyota e fãs da picape Hilux. A engenharia da marca, movida pela filosofia de melhoria contínua, desempenhou papel fundamental no desenvolvimento dessa plataforma aprimorada, que foi testada nas mesmas estradas utilizadas pelos clientes, conseguindo melhorar ainda mais aquilo que já era bom na picape atual.</w:t>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Hilux Weekend também oferece entretenimento para toda a família, desde exposição de veículos que marcaram a história da Toyota até atividades ao ar livre. O evento também contará com simulador de corrida, roda de samba e samba de mesa, barbearia, pula-pula para crianças, maquiagem infantil e escultura de balões, jogos eletrônicos de dança e pac-man, mesa de sinuca e mesa de disco e carrinho de picolé.</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participar desse momento exclusivo, os interessados podem se cadastrar e obter mais informações sobre o evento e suas próximas datas no site: </w:t>
      </w:r>
      <w:hyperlink r:id="rId7">
        <w:r w:rsidDel="00000000" w:rsidR="00000000" w:rsidRPr="00000000">
          <w:rPr>
            <w:rFonts w:ascii="Arial" w:cs="Arial" w:eastAsia="Arial" w:hAnsi="Arial"/>
            <w:sz w:val="24"/>
            <w:szCs w:val="24"/>
            <w:u w:val="single"/>
            <w:rtl w:val="0"/>
          </w:rPr>
          <w:t xml:space="preserve">https://www.toyota.com.br/mundo-toyota/hilux-weekend</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Vendas na região </w:t>
      </w:r>
    </w:p>
    <w:p w:rsidR="00000000" w:rsidDel="00000000" w:rsidP="00000000" w:rsidRDefault="00000000" w:rsidRPr="00000000" w14:paraId="0000000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2023, a Hilux se manteve líder em vendas dentre as picapes médias a diesel no Ceará, com 43% de </w:t>
      </w:r>
      <w:r w:rsidDel="00000000" w:rsidR="00000000" w:rsidRPr="00000000">
        <w:rPr>
          <w:rFonts w:ascii="Arial" w:cs="Arial" w:eastAsia="Arial" w:hAnsi="Arial"/>
          <w:i w:val="1"/>
          <w:sz w:val="24"/>
          <w:szCs w:val="24"/>
          <w:rtl w:val="0"/>
        </w:rPr>
        <w:t xml:space="preserve">market share.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spacing w:after="0"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versão SRX teve a maior participação de vendas na região, com 43%. Em segundo está a SRV, responsável por 26% do </w:t>
      </w:r>
      <w:r w:rsidDel="00000000" w:rsidR="00000000" w:rsidRPr="00000000">
        <w:rPr>
          <w:rFonts w:ascii="Arial" w:cs="Arial" w:eastAsia="Arial" w:hAnsi="Arial"/>
          <w:i w:val="1"/>
          <w:sz w:val="24"/>
          <w:szCs w:val="24"/>
          <w:rtl w:val="0"/>
        </w:rPr>
        <w:t xml:space="preserve">mix</w:t>
      </w:r>
      <w:r w:rsidDel="00000000" w:rsidR="00000000" w:rsidRPr="00000000">
        <w:rPr>
          <w:rFonts w:ascii="Arial" w:cs="Arial" w:eastAsia="Arial" w:hAnsi="Arial"/>
          <w:sz w:val="24"/>
          <w:szCs w:val="24"/>
          <w:rtl w:val="0"/>
        </w:rPr>
        <w:t xml:space="preserve">, seguida pela SR (9%), Cabine Simples (5% do mix), Power Pack (5%), SRX Limited (4%), GR-SPORT (4%), Conquest (2%), Chassi (2%) e SRX Plus (1%). Do total de Hilux vendidas no Ceará, 16% são via Vendas Diretas.</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Já entre os meses de janeiro e fevereiro deste ano, também no Ceará, a Hilux segue na liderança do segmento, com 50% de </w:t>
      </w:r>
      <w:r w:rsidDel="00000000" w:rsidR="00000000" w:rsidRPr="00000000">
        <w:rPr>
          <w:rFonts w:ascii="Arial" w:cs="Arial" w:eastAsia="Arial" w:hAnsi="Arial"/>
          <w:i w:val="1"/>
          <w:sz w:val="24"/>
          <w:szCs w:val="24"/>
          <w:rtl w:val="0"/>
        </w:rPr>
        <w:t xml:space="preserve">market share.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Informações: </w:t>
      </w:r>
    </w:p>
    <w:p w:rsidR="00000000" w:rsidDel="00000000" w:rsidP="00000000" w:rsidRDefault="00000000" w:rsidRPr="00000000" w14:paraId="0000001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Evento: Hilux Weekend</w:t>
      </w:r>
    </w:p>
    <w:p w:rsidR="00000000" w:rsidDel="00000000" w:rsidP="00000000" w:rsidRDefault="00000000" w:rsidRPr="00000000" w14:paraId="0000001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9 e 10 de março </w:t>
      </w:r>
    </w:p>
    <w:p w:rsidR="00000000" w:rsidDel="00000000" w:rsidP="00000000" w:rsidRDefault="00000000" w:rsidRPr="00000000" w14:paraId="0000001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Horário: das 10h às 17h</w:t>
      </w:r>
    </w:p>
    <w:p w:rsidR="00000000" w:rsidDel="00000000" w:rsidP="00000000" w:rsidRDefault="00000000" w:rsidRPr="00000000" w14:paraId="00000013">
      <w:pPr>
        <w:spacing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Local: Av. Washington Soares, 85 - Edson Queiroz - Fortaleza - CEP 60811-341</w:t>
      </w: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Objetivos de Desenvolvimento Sustentável</w:t>
      </w:r>
    </w:p>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divulgação deste material colabora diretamente para o seguinte Objetivo de Desenvolvimento Sustentável da ONU:</w:t>
      </w:r>
    </w:p>
    <w:p w:rsidR="00000000" w:rsidDel="00000000" w:rsidP="00000000" w:rsidRDefault="00000000" w:rsidRPr="00000000" w14:paraId="00000017">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982345" cy="982345"/>
            <wp:effectExtent b="0" l="0" r="0" t="0"/>
            <wp:docPr id="27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82345" cy="98234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240" w:before="240" w:line="360" w:lineRule="auto"/>
        <w:jc w:val="both"/>
        <w:rPr>
          <w:rFonts w:ascii="Arial" w:cs="Arial" w:eastAsia="Arial" w:hAnsi="Arial"/>
          <w:b w:val="1"/>
          <w:highlight w:val="white"/>
        </w:rPr>
      </w:pPr>
      <w:bookmarkStart w:colFirst="0" w:colLast="0" w:name="_heading=h.30j0zll" w:id="1"/>
      <w:bookmarkEnd w:id="1"/>
      <w:r w:rsidDel="00000000" w:rsidR="00000000" w:rsidRPr="00000000">
        <w:rPr>
          <w:rFonts w:ascii="Arial" w:cs="Arial" w:eastAsia="Arial" w:hAnsi="Arial"/>
          <w:b w:val="1"/>
          <w:highlight w:val="white"/>
          <w:rtl w:val="0"/>
        </w:rPr>
        <w:t xml:space="preserve">_____________________________________________________________</w:t>
      </w:r>
    </w:p>
    <w:p w:rsidR="00000000" w:rsidDel="00000000" w:rsidP="00000000" w:rsidRDefault="00000000" w:rsidRPr="00000000" w14:paraId="00000019">
      <w:pPr>
        <w:spacing w:after="0" w:line="360" w:lineRule="auto"/>
        <w:jc w:val="both"/>
        <w:rPr>
          <w:rFonts w:ascii="Arial" w:cs="Arial" w:eastAsia="Arial" w:hAnsi="Arial"/>
          <w:i w:val="1"/>
          <w:sz w:val="18"/>
          <w:szCs w:val="18"/>
          <w:highlight w:val="white"/>
        </w:rPr>
      </w:pPr>
      <w:r w:rsidDel="00000000" w:rsidR="00000000" w:rsidRPr="00000000">
        <w:rPr>
          <w:rFonts w:ascii="Arial" w:cs="Arial" w:eastAsia="Arial" w:hAnsi="Arial"/>
          <w:b w:val="1"/>
          <w:i w:val="1"/>
          <w:sz w:val="18"/>
          <w:szCs w:val="18"/>
          <w:highlight w:val="white"/>
          <w:rtl w:val="0"/>
        </w:rPr>
        <w:t xml:space="preserve">Sobre a Toyota do Brasil</w:t>
      </w:r>
      <w:r w:rsidDel="00000000" w:rsidR="00000000" w:rsidRPr="00000000">
        <w:rPr>
          <w:rtl w:val="0"/>
        </w:rPr>
      </w:r>
    </w:p>
    <w:p w:rsidR="00000000" w:rsidDel="00000000" w:rsidP="00000000" w:rsidRDefault="00000000" w:rsidRPr="00000000" w14:paraId="0000001A">
      <w:pPr>
        <w:spacing w:after="240" w:before="240" w:line="360" w:lineRule="auto"/>
        <w:jc w:val="both"/>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A Toyota do Brasil está presente no País há 66 anos. Possui três unidades produtivas, localizadas em Indaiatuba, Sorocaba e Porto Feliz, todas no Estado de São Paulo, e emprega cerca de 6 mil pessoas. A Toyota é a montadora líder em eletrificação no mundo: desde 1997 já foram comercializados mais de 20 milhões de automóveis mais limpos, sejam modelos híbridos, híbridos flex, híbridos plug-in,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70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 Toyota Global e Toyota do Brasil.</w:t>
      </w:r>
    </w:p>
    <w:p w:rsidR="00000000" w:rsidDel="00000000" w:rsidP="00000000" w:rsidRDefault="00000000" w:rsidRPr="00000000" w14:paraId="0000001B">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1C">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1D">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E">
      <w:pPr>
        <w:spacing w:after="240" w:before="240" w:line="360" w:lineRule="auto"/>
        <w:jc w:val="both"/>
        <w:rPr>
          <w:rFonts w:ascii="Arial" w:cs="Arial" w:eastAsia="Arial" w:hAnsi="Arial"/>
          <w:highlight w:val="white"/>
          <w:u w:val="single"/>
        </w:rPr>
      </w:pPr>
      <w:r w:rsidDel="00000000" w:rsidR="00000000" w:rsidRPr="00000000">
        <w:rPr>
          <w:rFonts w:ascii="Arial" w:cs="Arial" w:eastAsia="Arial" w:hAnsi="Arial"/>
          <w:highlight w:val="white"/>
          <w:rtl w:val="0"/>
        </w:rPr>
        <w:t xml:space="preserve">Kessia Santos – </w:t>
      </w:r>
      <w:hyperlink r:id="rId9">
        <w:r w:rsidDel="00000000" w:rsidR="00000000" w:rsidRPr="00000000">
          <w:rPr>
            <w:rFonts w:ascii="Arial" w:cs="Arial" w:eastAsia="Arial" w:hAnsi="Arial"/>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1F">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0">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Giusti Creative PR </w:t>
      </w:r>
    </w:p>
    <w:p w:rsidR="00000000" w:rsidDel="00000000" w:rsidP="00000000" w:rsidRDefault="00000000" w:rsidRPr="00000000" w14:paraId="00000021">
      <w:pPr>
        <w:spacing w:after="240" w:before="240" w:line="360" w:lineRule="auto"/>
        <w:ind w:left="2" w:firstLine="0"/>
        <w:jc w:val="both"/>
        <w:rPr>
          <w:rFonts w:ascii="Arial" w:cs="Arial" w:eastAsia="Arial" w:hAnsi="Arial"/>
          <w:highlight w:val="white"/>
          <w:u w:val="single"/>
        </w:rPr>
      </w:pPr>
      <w:r w:rsidDel="00000000" w:rsidR="00000000" w:rsidRPr="00000000">
        <w:rPr>
          <w:rFonts w:ascii="Arial" w:cs="Arial" w:eastAsia="Arial" w:hAnsi="Arial"/>
          <w:u w:val="single"/>
          <w:rtl w:val="0"/>
        </w:rPr>
        <w:t xml:space="preserve">toyota@giusticom.com.br</w:t>
      </w:r>
      <w:r w:rsidDel="00000000" w:rsidR="00000000" w:rsidRPr="00000000">
        <w:rPr>
          <w:rFonts w:ascii="Arial" w:cs="Arial" w:eastAsia="Arial" w:hAnsi="Arial"/>
          <w:highlight w:val="white"/>
          <w:u w:val="single"/>
          <w:rtl w:val="0"/>
        </w:rPr>
        <w:t xml:space="preserve"> </w:t>
      </w:r>
    </w:p>
    <w:p w:rsidR="00000000" w:rsidDel="00000000" w:rsidP="00000000" w:rsidRDefault="00000000" w:rsidRPr="00000000" w14:paraId="00000022">
      <w:pPr>
        <w:spacing w:after="240" w:before="240" w:line="360" w:lineRule="auto"/>
        <w:ind w:left="2"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23">
      <w:pPr>
        <w:spacing w:after="240" w:before="240" w:line="360" w:lineRule="auto"/>
        <w:ind w:left="2" w:firstLine="0"/>
        <w:jc w:val="both"/>
        <w:rPr>
          <w:rFonts w:ascii="Arial" w:cs="Arial" w:eastAsia="Arial" w:hAnsi="Arial"/>
        </w:rPr>
      </w:pPr>
      <w:r w:rsidDel="00000000" w:rsidR="00000000" w:rsidRPr="00000000">
        <w:rPr>
          <w:rFonts w:ascii="Arial" w:cs="Arial" w:eastAsia="Arial" w:hAnsi="Arial"/>
          <w:b w:val="1"/>
          <w:highlight w:val="white"/>
          <w:rtl w:val="0"/>
        </w:rPr>
        <w:t xml:space="preserve">Ana Carolina Cachoni – (11) </w:t>
      </w:r>
      <w:r w:rsidDel="00000000" w:rsidR="00000000" w:rsidRPr="00000000">
        <w:rPr>
          <w:rFonts w:ascii="Arial" w:cs="Arial" w:eastAsia="Arial" w:hAnsi="Arial"/>
          <w:b w:val="1"/>
          <w:rtl w:val="0"/>
        </w:rPr>
        <w:t xml:space="preserve">99394-8200</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240" w:before="240" w:line="360" w:lineRule="auto"/>
        <w:jc w:val="both"/>
        <w:rPr>
          <w:rFonts w:ascii="Arial" w:cs="Arial" w:eastAsia="Arial" w:hAnsi="Arial"/>
          <w:b w:val="1"/>
          <w:sz w:val="28"/>
          <w:szCs w:val="28"/>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-199982</wp:posOffset>
          </wp:positionV>
          <wp:extent cx="757237" cy="555307"/>
          <wp:effectExtent b="0" l="0" r="0" t="0"/>
          <wp:wrapSquare wrapText="bothSides" distB="114300" distT="114300" distL="114300" distR="114300"/>
          <wp:docPr id="27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237" cy="555307"/>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1993900</wp:posOffset>
              </wp:positionH>
              <wp:positionV relativeFrom="paragraph">
                <wp:posOffset>0</wp:posOffset>
              </wp:positionV>
              <wp:extent cx="805815" cy="805815"/>
              <wp:effectExtent b="0" l="0" r="0" t="0"/>
              <wp:wrapSquare wrapText="bothSides" distB="0" distT="0" distL="0" distR="0"/>
              <wp:docPr descr="• PUBLIC 公開" id="269"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1993900</wp:posOffset>
              </wp:positionH>
              <wp:positionV relativeFrom="paragraph">
                <wp:posOffset>0</wp:posOffset>
              </wp:positionV>
              <wp:extent cx="805815" cy="805815"/>
              <wp:effectExtent b="0" l="0" r="0" t="0"/>
              <wp:wrapSquare wrapText="bothSides" distB="0" distT="0" distL="0" distR="0"/>
              <wp:docPr descr="• PUBLIC 公開" id="269"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805815" cy="80581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1993900</wp:posOffset>
              </wp:positionH>
              <wp:positionV relativeFrom="paragraph">
                <wp:posOffset>0</wp:posOffset>
              </wp:positionV>
              <wp:extent cx="805815" cy="805815"/>
              <wp:effectExtent b="0" l="0" r="0" t="0"/>
              <wp:wrapSquare wrapText="bothSides" distB="0" distT="0" distL="0" distR="0"/>
              <wp:docPr descr="• PUBLIC 公開" id="268"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1993900</wp:posOffset>
              </wp:positionH>
              <wp:positionV relativeFrom="paragraph">
                <wp:posOffset>0</wp:posOffset>
              </wp:positionV>
              <wp:extent cx="805815" cy="805815"/>
              <wp:effectExtent b="0" l="0" r="0" t="0"/>
              <wp:wrapSquare wrapText="bothSides" distB="0" distT="0" distL="0" distR="0"/>
              <wp:docPr descr="• PUBLIC 公開" id="268"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805815" cy="8058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53" w:customStyle="1">
    <w:name w:val="Table Normal53"/>
    <w:tblPr>
      <w:tblCellMar>
        <w:top w:w="0.0" w:type="dxa"/>
        <w:left w:w="0.0" w:type="dxa"/>
        <w:bottom w:w="0.0" w:type="dxa"/>
        <w:right w:w="0.0" w:type="dxa"/>
      </w:tblCellMar>
    </w:tblPr>
  </w:style>
  <w:style w:type="table" w:styleId="TableNormal52" w:customStyle="1">
    <w:name w:val="Table Normal52"/>
    <w:tblPr>
      <w:tblCellMar>
        <w:top w:w="0.0" w:type="dxa"/>
        <w:left w:w="0.0" w:type="dxa"/>
        <w:bottom w:w="0.0" w:type="dxa"/>
        <w:right w:w="0.0" w:type="dxa"/>
      </w:tblCellMar>
    </w:tblPr>
  </w:style>
  <w:style w:type="table" w:styleId="TableNormal51" w:customStyle="1">
    <w:name w:val="Table Normal51"/>
    <w:tblPr>
      <w:tblCellMar>
        <w:top w:w="0.0" w:type="dxa"/>
        <w:left w:w="0.0" w:type="dxa"/>
        <w:bottom w:w="0.0" w:type="dxa"/>
        <w:right w:w="0.0" w:type="dxa"/>
      </w:tblCellMar>
    </w:tblPr>
  </w:style>
  <w:style w:type="table" w:styleId="TableNormal50" w:customStyle="1">
    <w:name w:val="Table Normal50"/>
    <w:tblPr>
      <w:tblCellMar>
        <w:top w:w="0.0" w:type="dxa"/>
        <w:left w:w="0.0" w:type="dxa"/>
        <w:bottom w:w="0.0" w:type="dxa"/>
        <w:right w:w="0.0" w:type="dxa"/>
      </w:tblCellMar>
    </w:tblPr>
  </w:style>
  <w:style w:type="table" w:styleId="TableNormal49" w:customStyle="1">
    <w:name w:val="Table Normal49"/>
    <w:tblPr>
      <w:tblCellMar>
        <w:top w:w="0.0" w:type="dxa"/>
        <w:left w:w="0.0" w:type="dxa"/>
        <w:bottom w:w="0.0" w:type="dxa"/>
        <w:right w:w="0.0" w:type="dxa"/>
      </w:tblCellMar>
    </w:tblPr>
  </w:style>
  <w:style w:type="table" w:styleId="TableNormal48" w:customStyle="1">
    <w:name w:val="Table Normal48"/>
    <w:tblPr>
      <w:tblCellMar>
        <w:top w:w="0.0" w:type="dxa"/>
        <w:left w:w="0.0" w:type="dxa"/>
        <w:bottom w:w="0.0" w:type="dxa"/>
        <w:right w:w="0.0" w:type="dxa"/>
      </w:tblCellMar>
    </w:tblPr>
  </w:style>
  <w:style w:type="table" w:styleId="TableNormal47" w:customStyle="1">
    <w:name w:val="Table Normal47"/>
    <w:tblPr>
      <w:tblCellMar>
        <w:top w:w="0.0" w:type="dxa"/>
        <w:left w:w="0.0" w:type="dxa"/>
        <w:bottom w:w="0.0" w:type="dxa"/>
        <w:right w:w="0.0" w:type="dxa"/>
      </w:tblCellMar>
    </w:tblPr>
  </w:style>
  <w:style w:type="table" w:styleId="TableNormal46" w:customStyle="1">
    <w:name w:val="Table Normal46"/>
    <w:tblPr>
      <w:tblCellMar>
        <w:top w:w="0.0" w:type="dxa"/>
        <w:left w:w="0.0" w:type="dxa"/>
        <w:bottom w:w="0.0" w:type="dxa"/>
        <w:right w:w="0.0" w:type="dxa"/>
      </w:tblCellMar>
    </w:tblPr>
  </w:style>
  <w:style w:type="table" w:styleId="TableNormal45" w:customStyle="1">
    <w:name w:val="Table Normal45"/>
    <w:tblPr>
      <w:tblCellMar>
        <w:top w:w="0.0" w:type="dxa"/>
        <w:left w:w="0.0" w:type="dxa"/>
        <w:bottom w:w="0.0" w:type="dxa"/>
        <w:right w:w="0.0" w:type="dxa"/>
      </w:tblCellMar>
    </w:tblPr>
  </w:style>
  <w:style w:type="table" w:styleId="TableNormal44" w:customStyle="1">
    <w:name w:val="Table Normal44"/>
    <w:tblPr>
      <w:tblCellMar>
        <w:top w:w="0.0" w:type="dxa"/>
        <w:left w:w="0.0" w:type="dxa"/>
        <w:bottom w:w="0.0" w:type="dxa"/>
        <w:right w:w="0.0" w:type="dxa"/>
      </w:tblCellMar>
    </w:tblPr>
  </w:style>
  <w:style w:type="table" w:styleId="TableNormal43" w:customStyle="1">
    <w:name w:val="Table Normal43"/>
    <w:tblPr>
      <w:tblCellMar>
        <w:top w:w="0.0" w:type="dxa"/>
        <w:left w:w="0.0" w:type="dxa"/>
        <w:bottom w:w="0.0" w:type="dxa"/>
        <w:right w:w="0.0" w:type="dxa"/>
      </w:tblCellMar>
    </w:tblPr>
  </w:style>
  <w:style w:type="table" w:styleId="TableNormal42" w:customStyle="1">
    <w:name w:val="Table Normal42"/>
    <w:tblPr>
      <w:tblCellMar>
        <w:top w:w="0.0" w:type="dxa"/>
        <w:left w:w="0.0" w:type="dxa"/>
        <w:bottom w:w="0.0" w:type="dxa"/>
        <w:right w:w="0.0" w:type="dxa"/>
      </w:tblCellMar>
    </w:tblPr>
  </w:style>
  <w:style w:type="table" w:styleId="TableNormal41" w:customStyle="1">
    <w:name w:val="Table Normal41"/>
    <w:tblPr>
      <w:tblCellMar>
        <w:top w:w="0.0" w:type="dxa"/>
        <w:left w:w="0.0" w:type="dxa"/>
        <w:bottom w:w="0.0" w:type="dxa"/>
        <w:right w:w="0.0" w:type="dxa"/>
      </w:tblCellMar>
    </w:tblPr>
  </w:style>
  <w:style w:type="table" w:styleId="TableNormal40" w:customStyle="1">
    <w:name w:val="Table Normal40"/>
    <w:tblPr>
      <w:tblCellMar>
        <w:top w:w="0.0" w:type="dxa"/>
        <w:left w:w="0.0" w:type="dxa"/>
        <w:bottom w:w="0.0" w:type="dxa"/>
        <w:right w:w="0.0" w:type="dxa"/>
      </w:tblCellMar>
    </w:tblPr>
  </w:style>
  <w:style w:type="table" w:styleId="TableNormal39" w:customStyle="1">
    <w:name w:val="Table Normal39"/>
    <w:tblPr>
      <w:tblCellMar>
        <w:top w:w="0.0" w:type="dxa"/>
        <w:left w:w="0.0" w:type="dxa"/>
        <w:bottom w:w="0.0" w:type="dxa"/>
        <w:right w:w="0.0" w:type="dxa"/>
      </w:tblCellMar>
    </w:tblPr>
  </w:style>
  <w:style w:type="table" w:styleId="TableNormal38" w:customStyle="1">
    <w:name w:val="Table Normal38"/>
    <w:tblPr>
      <w:tblCellMar>
        <w:top w:w="0.0" w:type="dxa"/>
        <w:left w:w="0.0" w:type="dxa"/>
        <w:bottom w:w="0.0" w:type="dxa"/>
        <w:right w:w="0.0" w:type="dxa"/>
      </w:tblCellMar>
    </w:tblPr>
  </w:style>
  <w:style w:type="table" w:styleId="TableNormal37" w:customStyle="1">
    <w:name w:val="Table Normal37"/>
    <w:tblPr>
      <w:tblCellMar>
        <w:top w:w="0.0" w:type="dxa"/>
        <w:left w:w="0.0" w:type="dxa"/>
        <w:bottom w:w="0.0" w:type="dxa"/>
        <w:right w:w="0.0" w:type="dxa"/>
      </w:tblCellMar>
    </w:tblPr>
  </w:style>
  <w:style w:type="table" w:styleId="TableNormal36" w:customStyle="1">
    <w:name w:val="Table Normal36"/>
    <w:tblPr>
      <w:tblCellMar>
        <w:top w:w="0.0" w:type="dxa"/>
        <w:left w:w="0.0" w:type="dxa"/>
        <w:bottom w:w="0.0" w:type="dxa"/>
        <w:right w:w="0.0" w:type="dxa"/>
      </w:tblCellMar>
    </w:tblPr>
  </w:style>
  <w:style w:type="table" w:styleId="TableNormal35" w:customStyle="1">
    <w:name w:val="Table Normal35"/>
    <w:tblPr>
      <w:tblCellMar>
        <w:top w:w="0.0" w:type="dxa"/>
        <w:left w:w="0.0" w:type="dxa"/>
        <w:bottom w:w="0.0" w:type="dxa"/>
        <w:right w:w="0.0" w:type="dxa"/>
      </w:tblCellMar>
    </w:tblPr>
  </w:style>
  <w:style w:type="table" w:styleId="TableNormal34" w:customStyle="1">
    <w:name w:val="Table Normal34"/>
    <w:tblPr>
      <w:tblCellMar>
        <w:top w:w="0.0" w:type="dxa"/>
        <w:left w:w="0.0" w:type="dxa"/>
        <w:bottom w:w="0.0" w:type="dxa"/>
        <w:right w:w="0.0" w:type="dxa"/>
      </w:tblCellMar>
    </w:tblPr>
  </w:style>
  <w:style w:type="table" w:styleId="TableNormal33" w:customStyle="1">
    <w:name w:val="Table Normal33"/>
    <w:tblPr>
      <w:tblCellMar>
        <w:top w:w="0.0" w:type="dxa"/>
        <w:left w:w="0.0" w:type="dxa"/>
        <w:bottom w:w="0.0" w:type="dxa"/>
        <w:right w:w="0.0" w:type="dxa"/>
      </w:tblCellMar>
    </w:tblPr>
  </w:style>
  <w:style w:type="table" w:styleId="TableNormal32" w:customStyle="1">
    <w:name w:val="Table Normal32"/>
    <w:tblPr>
      <w:tblCellMar>
        <w:top w:w="0.0" w:type="dxa"/>
        <w:left w:w="0.0" w:type="dxa"/>
        <w:bottom w:w="0.0" w:type="dxa"/>
        <w:right w:w="0.0" w:type="dxa"/>
      </w:tblCellMar>
    </w:tblPr>
  </w:style>
  <w:style w:type="table" w:styleId="TableNormal31" w:customStyle="1">
    <w:name w:val="Table Normal31"/>
    <w:tblPr>
      <w:tblCellMar>
        <w:top w:w="0.0" w:type="dxa"/>
        <w:left w:w="0.0" w:type="dxa"/>
        <w:bottom w:w="0.0" w:type="dxa"/>
        <w:right w:w="0.0" w:type="dxa"/>
      </w:tblCellMar>
    </w:tblPr>
  </w:style>
  <w:style w:type="table" w:styleId="TableNormal30" w:customStyle="1">
    <w:name w:val="Table Normal30"/>
    <w:tblPr>
      <w:tblCellMar>
        <w:top w:w="0.0" w:type="dxa"/>
        <w:left w:w="0.0" w:type="dxa"/>
        <w:bottom w:w="0.0" w:type="dxa"/>
        <w:right w:w="0.0" w:type="dxa"/>
      </w:tblCellMar>
    </w:tblPr>
  </w:style>
  <w:style w:type="table" w:styleId="TableNormal29" w:customStyle="1">
    <w:name w:val="Table Normal29"/>
    <w:tblPr>
      <w:tblCellMar>
        <w:top w:w="0.0" w:type="dxa"/>
        <w:left w:w="0.0" w:type="dxa"/>
        <w:bottom w:w="0.0" w:type="dxa"/>
        <w:right w:w="0.0" w:type="dxa"/>
      </w:tblCellMar>
    </w:tblPr>
  </w:style>
  <w:style w:type="table" w:styleId="TableNormal28" w:customStyle="1">
    <w:name w:val="Table Normal28"/>
    <w:tblPr>
      <w:tblCellMar>
        <w:top w:w="0.0" w:type="dxa"/>
        <w:left w:w="0.0" w:type="dxa"/>
        <w:bottom w:w="0.0" w:type="dxa"/>
        <w:right w:w="0.0" w:type="dxa"/>
      </w:tblCellMar>
    </w:tblPr>
  </w:style>
  <w:style w:type="table" w:styleId="TableNormal27" w:customStyle="1">
    <w:name w:val="Table Normal27"/>
    <w:tblPr>
      <w:tblCellMar>
        <w:top w:w="0.0" w:type="dxa"/>
        <w:left w:w="0.0" w:type="dxa"/>
        <w:bottom w:w="0.0" w:type="dxa"/>
        <w:right w:w="0.0" w:type="dxa"/>
      </w:tblCellMar>
    </w:tblPr>
  </w:style>
  <w:style w:type="table" w:styleId="TableNormal26" w:customStyle="1">
    <w:name w:val="Table Normal26"/>
    <w:tblPr>
      <w:tblCellMar>
        <w:top w:w="0.0" w:type="dxa"/>
        <w:left w:w="0.0" w:type="dxa"/>
        <w:bottom w:w="0.0" w:type="dxa"/>
        <w:right w:w="0.0" w:type="dxa"/>
      </w:tblCellMar>
    </w:tblPr>
  </w:style>
  <w:style w:type="table" w:styleId="TableNormal25" w:customStyle="1">
    <w:name w:val="Table Normal25"/>
    <w:tblPr>
      <w:tblCellMar>
        <w:top w:w="0.0" w:type="dxa"/>
        <w:left w:w="0.0" w:type="dxa"/>
        <w:bottom w:w="0.0" w:type="dxa"/>
        <w:right w:w="0.0" w:type="dxa"/>
      </w:tblCellMar>
    </w:tblPr>
  </w:style>
  <w:style w:type="table" w:styleId="TableNormal24" w:customStyle="1">
    <w:name w:val="Table Normal24"/>
    <w:tblPr>
      <w:tblCellMar>
        <w:top w:w="0.0" w:type="dxa"/>
        <w:left w:w="0.0" w:type="dxa"/>
        <w:bottom w:w="0.0" w:type="dxa"/>
        <w:right w:w="0.0" w:type="dxa"/>
      </w:tblCellMar>
    </w:tblPr>
  </w:style>
  <w:style w:type="table" w:styleId="TableNormal23" w:customStyle="1">
    <w:name w:val="Table Normal23"/>
    <w:tblPr>
      <w:tblCellMar>
        <w:top w:w="0.0" w:type="dxa"/>
        <w:left w:w="0.0" w:type="dxa"/>
        <w:bottom w:w="0.0" w:type="dxa"/>
        <w:right w:w="0.0" w:type="dxa"/>
      </w:tblCellMar>
    </w:tblPr>
  </w:style>
  <w:style w:type="table" w:styleId="TableNormal22" w:customStyle="1">
    <w:name w:val="Table Normal22"/>
    <w:tblPr>
      <w:tblCellMar>
        <w:top w:w="0.0" w:type="dxa"/>
        <w:left w:w="0.0" w:type="dxa"/>
        <w:bottom w:w="0.0" w:type="dxa"/>
        <w:right w:w="0.0" w:type="dxa"/>
      </w:tblCellMar>
    </w:tblPr>
  </w:style>
  <w:style w:type="table" w:styleId="TableNormal21" w:customStyle="1">
    <w:name w:val="Table Normal21"/>
    <w:tblPr>
      <w:tblCellMar>
        <w:top w:w="0.0" w:type="dxa"/>
        <w:left w:w="0.0" w:type="dxa"/>
        <w:bottom w:w="0.0" w:type="dxa"/>
        <w:right w:w="0.0" w:type="dxa"/>
      </w:tblCellMar>
    </w:tblPr>
  </w:style>
  <w:style w:type="table" w:styleId="TableNormal20" w:customStyle="1">
    <w:name w:val="Table Normal20"/>
    <w:tblPr>
      <w:tblCellMar>
        <w:top w:w="0.0" w:type="dxa"/>
        <w:left w:w="0.0" w:type="dxa"/>
        <w:bottom w:w="0.0" w:type="dxa"/>
        <w:right w:w="0.0" w:type="dxa"/>
      </w:tblCellMar>
    </w:tblPr>
  </w:style>
  <w:style w:type="table" w:styleId="TableNormal19" w:customStyle="1">
    <w:name w:val="Table Normal19"/>
    <w:tblPr>
      <w:tblCellMar>
        <w:top w:w="0.0" w:type="dxa"/>
        <w:left w:w="0.0" w:type="dxa"/>
        <w:bottom w:w="0.0" w:type="dxa"/>
        <w:right w:w="0.0" w:type="dxa"/>
      </w:tblCellMar>
    </w:tblPr>
  </w:style>
  <w:style w:type="table" w:styleId="TableNormal18" w:customStyle="1">
    <w:name w:val="Table Normal18"/>
    <w:tblPr>
      <w:tblCellMar>
        <w:top w:w="0.0" w:type="dxa"/>
        <w:left w:w="0.0" w:type="dxa"/>
        <w:bottom w:w="0.0" w:type="dxa"/>
        <w:right w:w="0.0" w:type="dxa"/>
      </w:tblCellMar>
    </w:tblPr>
  </w:style>
  <w:style w:type="table" w:styleId="TableNormal17" w:customStyle="1">
    <w:name w:val="Table Normal17"/>
    <w:tblPr>
      <w:tblCellMar>
        <w:top w:w="0.0" w:type="dxa"/>
        <w:left w:w="0.0" w:type="dxa"/>
        <w:bottom w:w="0.0" w:type="dxa"/>
        <w:right w:w="0.0" w:type="dxa"/>
      </w:tblCellMar>
    </w:tblPr>
  </w:style>
  <w:style w:type="table" w:styleId="TableNormal16" w:customStyle="1">
    <w:name w:val="Table Normal16"/>
    <w:tblPr>
      <w:tblCellMar>
        <w:top w:w="0.0" w:type="dxa"/>
        <w:left w:w="0.0" w:type="dxa"/>
        <w:bottom w:w="0.0" w:type="dxa"/>
        <w:right w:w="0.0" w:type="dxa"/>
      </w:tblCellMar>
    </w:tblPr>
  </w:style>
  <w:style w:type="table" w:styleId="TableNormal15" w:customStyle="1">
    <w:name w:val="Table Normal15"/>
    <w:tblPr>
      <w:tblCellMar>
        <w:top w:w="0.0" w:type="dxa"/>
        <w:left w:w="0.0" w:type="dxa"/>
        <w:bottom w:w="0.0" w:type="dxa"/>
        <w:right w:w="0.0" w:type="dxa"/>
      </w:tblCellMar>
    </w:tblPr>
  </w:style>
  <w:style w:type="table" w:styleId="TableNormal14" w:customStyle="1">
    <w:name w:val="Table Normal14"/>
    <w:tblPr>
      <w:tblCellMar>
        <w:top w:w="0.0" w:type="dxa"/>
        <w:left w:w="0.0" w:type="dxa"/>
        <w:bottom w:w="0.0" w:type="dxa"/>
        <w:right w:w="0.0" w:type="dxa"/>
      </w:tblCellMar>
    </w:tblPr>
  </w:style>
  <w:style w:type="table" w:styleId="TableNormal13" w:customStyle="1">
    <w:name w:val="Table Normal13"/>
    <w:tblPr>
      <w:tblCellMar>
        <w:top w:w="0.0" w:type="dxa"/>
        <w:left w:w="0.0" w:type="dxa"/>
        <w:bottom w:w="0.0" w:type="dxa"/>
        <w:right w:w="0.0" w:type="dxa"/>
      </w:tblCellMar>
    </w:tblPr>
  </w:style>
  <w:style w:type="table" w:styleId="TableNormal12" w:customStyle="1">
    <w:name w:val="Table Normal12"/>
    <w:tblPr>
      <w:tblCellMar>
        <w:top w:w="0.0" w:type="dxa"/>
        <w:left w:w="0.0" w:type="dxa"/>
        <w:bottom w:w="0.0" w:type="dxa"/>
        <w:right w:w="0.0" w:type="dxa"/>
      </w:tblCellMar>
    </w:tblPr>
  </w:style>
  <w:style w:type="table" w:styleId="TableNormal11" w:customStyle="1">
    <w:name w:val="Table Normal11"/>
    <w:tblPr>
      <w:tblCellMar>
        <w:top w:w="0.0" w:type="dxa"/>
        <w:left w:w="0.0" w:type="dxa"/>
        <w:bottom w:w="0.0" w:type="dxa"/>
        <w:right w:w="0.0" w:type="dxa"/>
      </w:tblCellMar>
    </w:tblPr>
  </w:style>
  <w:style w:type="table" w:styleId="TableNormal10" w:customStyle="1">
    <w:name w:val="Table Normal10"/>
    <w:tblPr>
      <w:tblCellMar>
        <w:top w:w="0.0" w:type="dxa"/>
        <w:left w:w="0.0" w:type="dxa"/>
        <w:bottom w:w="0.0" w:type="dxa"/>
        <w:right w:w="0.0" w:type="dxa"/>
      </w:tblCellMar>
    </w:tblPr>
  </w:style>
  <w:style w:type="table" w:styleId="TableNormal9" w:customStyle="1">
    <w:name w:val="Table Normal9"/>
    <w:tblPr>
      <w:tblCellMar>
        <w:top w:w="0.0" w:type="dxa"/>
        <w:left w:w="0.0" w:type="dxa"/>
        <w:bottom w:w="0.0" w:type="dxa"/>
        <w:right w:w="0.0" w:type="dxa"/>
      </w:tblCellMar>
    </w:tblPr>
  </w:style>
  <w:style w:type="table" w:styleId="TableNormal8" w:customStyle="1">
    <w:name w:val="Table Normal8"/>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osantos@toyota.com.b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yota.com.br/mundo-toyota/hilux-weekend"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v6qxhR3a/dz6hyJ3yj19wKfQ==">CgMxLjAyCGguZ2pkZ3hzMgloLjMwajB6bGw4AHIhMXZPSWVTVHRBdC14dFpZVkFVTlQtNUo2emNySVYxeXNq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2023-11-06T20:48:00Z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