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6"/>
          <w:szCs w:val="26"/>
          <w:highlight w:val="white"/>
        </w:rPr>
      </w:pPr>
      <w:r w:rsidDel="00000000" w:rsidR="00000000" w:rsidRPr="00000000">
        <w:rPr>
          <w:rtl w:val="0"/>
        </w:rPr>
      </w:r>
    </w:p>
    <w:p w:rsidR="00000000" w:rsidDel="00000000" w:rsidP="00000000" w:rsidRDefault="00000000" w:rsidRPr="00000000" w14:paraId="00000002">
      <w:pPr>
        <w:spacing w:after="240" w:line="360" w:lineRule="auto"/>
        <w:jc w:val="center"/>
        <w:rPr>
          <w:b w:val="1"/>
          <w:strike w:val="1"/>
          <w:sz w:val="26"/>
          <w:szCs w:val="26"/>
          <w:highlight w:val="white"/>
        </w:rPr>
      </w:pPr>
      <w:r w:rsidDel="00000000" w:rsidR="00000000" w:rsidRPr="00000000">
        <w:rPr>
          <w:b w:val="1"/>
          <w:sz w:val="26"/>
          <w:szCs w:val="26"/>
          <w:highlight w:val="white"/>
          <w:rtl w:val="0"/>
        </w:rPr>
        <w:t xml:space="preserve">Toyota estará presente na 36ª edição da Show Rural Coopavel</w:t>
      </w:r>
      <w:r w:rsidDel="00000000" w:rsidR="00000000" w:rsidRPr="00000000">
        <w:rPr>
          <w:rtl w:val="0"/>
        </w:rPr>
      </w:r>
    </w:p>
    <w:p w:rsidR="00000000" w:rsidDel="00000000" w:rsidP="00000000" w:rsidRDefault="00000000" w:rsidRPr="00000000" w14:paraId="00000003">
      <w:pPr>
        <w:numPr>
          <w:ilvl w:val="0"/>
          <w:numId w:val="1"/>
        </w:numPr>
        <w:spacing w:after="240" w:line="360" w:lineRule="auto"/>
        <w:ind w:left="720" w:hanging="360"/>
        <w:jc w:val="both"/>
        <w:rPr>
          <w:i w:val="1"/>
          <w:sz w:val="20"/>
          <w:szCs w:val="20"/>
          <w:highlight w:val="white"/>
        </w:rPr>
      </w:pPr>
      <w:r w:rsidDel="00000000" w:rsidR="00000000" w:rsidRPr="00000000">
        <w:rPr>
          <w:i w:val="1"/>
          <w:sz w:val="20"/>
          <w:szCs w:val="20"/>
          <w:highlight w:val="white"/>
          <w:rtl w:val="0"/>
        </w:rPr>
        <w:t xml:space="preserve">Empresa apresentará condições especiais para as versões de trabalho da Hilux</w:t>
      </w:r>
    </w:p>
    <w:p w:rsidR="00000000" w:rsidDel="00000000" w:rsidP="00000000" w:rsidRDefault="00000000" w:rsidRPr="00000000" w14:paraId="00000004">
      <w:pPr>
        <w:numPr>
          <w:ilvl w:val="0"/>
          <w:numId w:val="1"/>
        </w:numPr>
        <w:spacing w:after="240" w:line="360" w:lineRule="auto"/>
        <w:ind w:left="720" w:hanging="360"/>
        <w:jc w:val="both"/>
        <w:rPr>
          <w:i w:val="1"/>
          <w:sz w:val="20"/>
          <w:szCs w:val="20"/>
          <w:highlight w:val="white"/>
        </w:rPr>
      </w:pPr>
      <w:r w:rsidDel="00000000" w:rsidR="00000000" w:rsidRPr="00000000">
        <w:rPr>
          <w:i w:val="1"/>
          <w:sz w:val="20"/>
          <w:szCs w:val="20"/>
          <w:highlight w:val="white"/>
          <w:rtl w:val="0"/>
        </w:rPr>
        <w:t xml:space="preserve">Nova Hilux SRX Plus e SW4 SRX Platinum estarão em exibição no estande da marca</w:t>
      </w:r>
    </w:p>
    <w:p w:rsidR="00000000" w:rsidDel="00000000" w:rsidP="00000000" w:rsidRDefault="00000000" w:rsidRPr="00000000" w14:paraId="00000005">
      <w:pPr>
        <w:numPr>
          <w:ilvl w:val="0"/>
          <w:numId w:val="1"/>
        </w:numPr>
        <w:spacing w:after="240" w:line="360" w:lineRule="auto"/>
        <w:ind w:left="720" w:hanging="360"/>
        <w:jc w:val="both"/>
        <w:rPr>
          <w:i w:val="1"/>
          <w:sz w:val="20"/>
          <w:szCs w:val="20"/>
          <w:highlight w:val="white"/>
        </w:rPr>
      </w:pPr>
      <w:r w:rsidDel="00000000" w:rsidR="00000000" w:rsidRPr="00000000">
        <w:rPr>
          <w:i w:val="1"/>
          <w:sz w:val="20"/>
          <w:szCs w:val="20"/>
          <w:highlight w:val="white"/>
          <w:rtl w:val="0"/>
        </w:rPr>
        <w:t xml:space="preserve">KINTO também estará no evento apresentando suas soluções e serviços de mobilidade  </w:t>
      </w:r>
    </w:p>
    <w:p w:rsidR="00000000" w:rsidDel="00000000" w:rsidP="00000000" w:rsidRDefault="00000000" w:rsidRPr="00000000" w14:paraId="00000006">
      <w:pPr>
        <w:spacing w:line="360" w:lineRule="auto"/>
        <w:ind w:left="720" w:firstLine="0"/>
        <w:jc w:val="both"/>
        <w:rPr>
          <w:i w:val="1"/>
          <w:highlight w:val="white"/>
        </w:rPr>
      </w:pPr>
      <w:r w:rsidDel="00000000" w:rsidR="00000000" w:rsidRPr="00000000">
        <w:rPr>
          <w:rtl w:val="0"/>
        </w:rPr>
      </w:r>
    </w:p>
    <w:p w:rsidR="00000000" w:rsidDel="00000000" w:rsidP="00000000" w:rsidRDefault="00000000" w:rsidRPr="00000000" w14:paraId="00000007">
      <w:pPr>
        <w:spacing w:line="360" w:lineRule="auto"/>
        <w:jc w:val="both"/>
        <w:rPr>
          <w:highlight w:val="white"/>
        </w:rPr>
      </w:pPr>
      <w:r w:rsidDel="00000000" w:rsidR="00000000" w:rsidRPr="00000000">
        <w:rPr>
          <w:b w:val="1"/>
          <w:highlight w:val="white"/>
          <w:rtl w:val="0"/>
        </w:rPr>
        <w:t xml:space="preserve">São Paulo, janeiro de 2024 – </w:t>
      </w:r>
      <w:r w:rsidDel="00000000" w:rsidR="00000000" w:rsidRPr="00000000">
        <w:rPr>
          <w:highlight w:val="white"/>
          <w:rtl w:val="0"/>
        </w:rPr>
        <w:t xml:space="preserve">A Toyota do Brasil estará presente no Show Rural Coopavel, um dos maiores eventos do País em diversificação agrícola, que está na sua 36ª edição. O evento, que ocorrerá entre os dias 5 e 9 de fevereiro, em Cascavel (PR), contará com condições especiais para as versões da picape Hilux. </w:t>
      </w:r>
    </w:p>
    <w:p w:rsidR="00000000" w:rsidDel="00000000" w:rsidP="00000000" w:rsidRDefault="00000000" w:rsidRPr="00000000" w14:paraId="00000008">
      <w:pPr>
        <w:spacing w:line="360" w:lineRule="auto"/>
        <w:jc w:val="both"/>
        <w:rPr>
          <w:highlight w:val="white"/>
        </w:rPr>
      </w:pPr>
      <w:r w:rsidDel="00000000" w:rsidR="00000000" w:rsidRPr="00000000">
        <w:rPr>
          <w:rtl w:val="0"/>
        </w:rPr>
      </w:r>
    </w:p>
    <w:p w:rsidR="00000000" w:rsidDel="00000000" w:rsidP="00000000" w:rsidRDefault="00000000" w:rsidRPr="00000000" w14:paraId="00000009">
      <w:pPr>
        <w:spacing w:line="360" w:lineRule="auto"/>
        <w:jc w:val="both"/>
        <w:rPr>
          <w:highlight w:val="white"/>
        </w:rPr>
      </w:pPr>
      <w:r w:rsidDel="00000000" w:rsidR="00000000" w:rsidRPr="00000000">
        <w:rPr>
          <w:highlight w:val="white"/>
          <w:rtl w:val="0"/>
        </w:rPr>
        <w:t xml:space="preserve">A KINTO, empresa de mobilidade da Toyota, também estará presente no evento. </w:t>
      </w:r>
      <w:r w:rsidDel="00000000" w:rsidR="00000000" w:rsidRPr="00000000">
        <w:rPr>
          <w:rtl w:val="0"/>
        </w:rPr>
        <w:t xml:space="preserve">Desde o ano passado, produtores rurais podem contratar soluções de frotas corporativas da KINTO utilizando CPF e número de inscrição estadual, sem a necessidade de um CNPJ. U</w:t>
      </w:r>
      <w:r w:rsidDel="00000000" w:rsidR="00000000" w:rsidRPr="00000000">
        <w:rPr>
          <w:highlight w:val="white"/>
          <w:rtl w:val="0"/>
        </w:rPr>
        <w:t xml:space="preserve">ma equipe dedicada de consultoria estará à disposição no estande para apresentar o amplo portfólio de soluções de mobilidade sustentável da companhia. Isso inclui o KINTO Share, serviço de compartilhamento de veículos; KINTO One Fleet, voltado para a gestão de frotas corporativas; e KINTO One Personal, oferecendo assinatura de veículos para pessoas físicas.</w:t>
      </w:r>
    </w:p>
    <w:p w:rsidR="00000000" w:rsidDel="00000000" w:rsidP="00000000" w:rsidRDefault="00000000" w:rsidRPr="00000000" w14:paraId="0000000A">
      <w:pPr>
        <w:spacing w:line="360" w:lineRule="auto"/>
        <w:jc w:val="both"/>
        <w:rPr>
          <w:highlight w:val="white"/>
        </w:rPr>
      </w:pPr>
      <w:r w:rsidDel="00000000" w:rsidR="00000000" w:rsidRPr="00000000">
        <w:rPr>
          <w:rtl w:val="0"/>
        </w:rPr>
      </w:r>
    </w:p>
    <w:p w:rsidR="00000000" w:rsidDel="00000000" w:rsidP="00000000" w:rsidRDefault="00000000" w:rsidRPr="00000000" w14:paraId="0000000B">
      <w:pPr>
        <w:spacing w:line="360" w:lineRule="auto"/>
        <w:jc w:val="both"/>
        <w:rPr>
          <w:highlight w:val="white"/>
        </w:rPr>
      </w:pPr>
      <w:r w:rsidDel="00000000" w:rsidR="00000000" w:rsidRPr="00000000">
        <w:rPr>
          <w:highlight w:val="white"/>
          <w:rtl w:val="0"/>
        </w:rPr>
        <w:t xml:space="preserve">A Toyota terá como destaque no evento a nova Hilux SRX Plus e o SUV SW4 SRX Platinum, apresentados oficialmente em 2023. A picape vem com especial atenção às exigências dos clientes da Toyota. A engenharia da marca, movida pela filosofia de melhoria contínua, desempenhou papel fundamental no desenvolvimento dessa plataforma aprimorada, que foi testada nas mesmas estradas utilizadas pelos clientes, conseguindo melhorar ainda mais aquilo que já era bom na picape atual.</w:t>
      </w:r>
    </w:p>
    <w:p w:rsidR="00000000" w:rsidDel="00000000" w:rsidP="00000000" w:rsidRDefault="00000000" w:rsidRPr="00000000" w14:paraId="0000000C">
      <w:pPr>
        <w:spacing w:line="360" w:lineRule="auto"/>
        <w:jc w:val="both"/>
        <w:rPr>
          <w:highlight w:val="white"/>
        </w:rPr>
      </w:pPr>
      <w:r w:rsidDel="00000000" w:rsidR="00000000" w:rsidRPr="00000000">
        <w:rPr>
          <w:rtl w:val="0"/>
        </w:rPr>
      </w:r>
    </w:p>
    <w:p w:rsidR="00000000" w:rsidDel="00000000" w:rsidP="00000000" w:rsidRDefault="00000000" w:rsidRPr="00000000" w14:paraId="0000000D">
      <w:pPr>
        <w:spacing w:line="360" w:lineRule="auto"/>
        <w:jc w:val="both"/>
        <w:rPr>
          <w:highlight w:val="white"/>
        </w:rPr>
      </w:pPr>
      <w:r w:rsidDel="00000000" w:rsidR="00000000" w:rsidRPr="00000000">
        <w:rPr>
          <w:highlight w:val="white"/>
          <w:rtl w:val="0"/>
        </w:rPr>
        <w:t xml:space="preserve">Já a configuração SRX Platinum do SW4 reforça o portfólio do líder em seu segmento pela versatilidade: um veículo espaçoso e prático o suficiente para atividades familiares, diferenciado para uso corporativo ou urbano e resistente a qualquer aventura </w:t>
      </w:r>
      <w:r w:rsidDel="00000000" w:rsidR="00000000" w:rsidRPr="00000000">
        <w:rPr>
          <w:i w:val="1"/>
          <w:highlight w:val="white"/>
          <w:rtl w:val="0"/>
        </w:rPr>
        <w:t xml:space="preserve">off-road</w:t>
      </w:r>
      <w:r w:rsidDel="00000000" w:rsidR="00000000" w:rsidRPr="00000000">
        <w:rPr>
          <w:highlight w:val="white"/>
          <w:rtl w:val="0"/>
        </w:rPr>
        <w:t xml:space="preserve">. </w:t>
      </w:r>
    </w:p>
    <w:p w:rsidR="00000000" w:rsidDel="00000000" w:rsidP="00000000" w:rsidRDefault="00000000" w:rsidRPr="00000000" w14:paraId="0000000E">
      <w:pPr>
        <w:spacing w:line="360" w:lineRule="auto"/>
        <w:jc w:val="both"/>
        <w:rPr>
          <w:highlight w:val="white"/>
        </w:rPr>
      </w:pPr>
      <w:r w:rsidDel="00000000" w:rsidR="00000000" w:rsidRPr="00000000">
        <w:rPr>
          <w:rtl w:val="0"/>
        </w:rPr>
      </w:r>
    </w:p>
    <w:p w:rsidR="00000000" w:rsidDel="00000000" w:rsidP="00000000" w:rsidRDefault="00000000" w:rsidRPr="00000000" w14:paraId="0000000F">
      <w:pPr>
        <w:spacing w:line="360" w:lineRule="auto"/>
        <w:jc w:val="both"/>
        <w:rPr>
          <w:b w:val="1"/>
          <w:highlight w:val="white"/>
        </w:rPr>
      </w:pPr>
      <w:r w:rsidDel="00000000" w:rsidR="00000000" w:rsidRPr="00000000">
        <w:rPr>
          <w:b w:val="1"/>
          <w:highlight w:val="white"/>
          <w:rtl w:val="0"/>
        </w:rPr>
        <w:t xml:space="preserve">Condições especiais para linha Hilux </w:t>
      </w:r>
    </w:p>
    <w:p w:rsidR="00000000" w:rsidDel="00000000" w:rsidP="00000000" w:rsidRDefault="00000000" w:rsidRPr="00000000" w14:paraId="00000010">
      <w:pPr>
        <w:spacing w:line="360" w:lineRule="auto"/>
        <w:jc w:val="both"/>
        <w:rPr>
          <w:highlight w:val="white"/>
        </w:rPr>
      </w:pPr>
      <w:r w:rsidDel="00000000" w:rsidR="00000000" w:rsidRPr="00000000">
        <w:rPr>
          <w:highlight w:val="white"/>
          <w:rtl w:val="0"/>
        </w:rPr>
        <w:t xml:space="preserve">A Toyota estará presente com condições especiais para a linha Hilux, líder absoluta de seu segmento no País, referência por sua robustez, desempenho e segurança. A versão SR será comercializada durante o evento </w:t>
      </w:r>
      <w:r w:rsidDel="00000000" w:rsidR="00000000" w:rsidRPr="00000000">
        <w:rPr>
          <w:highlight w:val="white"/>
          <w:rtl w:val="0"/>
        </w:rPr>
        <w:t xml:space="preserve">com desconto de R$ 35 mil para o produtor rural.</w:t>
      </w:r>
      <w:r w:rsidDel="00000000" w:rsidR="00000000" w:rsidRPr="00000000">
        <w:rPr>
          <w:rtl w:val="0"/>
        </w:rPr>
      </w:r>
    </w:p>
    <w:p w:rsidR="00000000" w:rsidDel="00000000" w:rsidP="00000000" w:rsidRDefault="00000000" w:rsidRPr="00000000" w14:paraId="00000011">
      <w:pPr>
        <w:spacing w:line="360" w:lineRule="auto"/>
        <w:jc w:val="both"/>
        <w:rPr>
          <w:highlight w:val="white"/>
        </w:rPr>
      </w:pPr>
      <w:r w:rsidDel="00000000" w:rsidR="00000000" w:rsidRPr="00000000">
        <w:rPr>
          <w:rtl w:val="0"/>
        </w:rPr>
      </w:r>
    </w:p>
    <w:p w:rsidR="00000000" w:rsidDel="00000000" w:rsidP="00000000" w:rsidRDefault="00000000" w:rsidRPr="00000000" w14:paraId="00000012">
      <w:pPr>
        <w:spacing w:line="360" w:lineRule="auto"/>
        <w:jc w:val="both"/>
        <w:rPr>
          <w:highlight w:val="white"/>
        </w:rPr>
      </w:pPr>
      <w:r w:rsidDel="00000000" w:rsidR="00000000" w:rsidRPr="00000000">
        <w:rPr>
          <w:highlight w:val="white"/>
          <w:rtl w:val="0"/>
        </w:rPr>
        <w:t xml:space="preserve">“O Show Rural de Cascavel abre oficialmente o calendário de eventos agro no Brasil e é ideal para nos aproximarmos ainda mais dos produtores rurais que demandam sempre veículos robustos e confiáveis. Como líderes de mercado, entendemos que desempenhamos um importante papel junto ao agro nacional e essa é uma excelente oportunidade para o público conhecer de perto o que há de novidade na linha Hilux e SW4”, comenta José Ricardo Gomes, diretor comercial da Toyota do Brasil. </w:t>
      </w:r>
    </w:p>
    <w:p w:rsidR="00000000" w:rsidDel="00000000" w:rsidP="00000000" w:rsidRDefault="00000000" w:rsidRPr="00000000" w14:paraId="00000013">
      <w:pPr>
        <w:spacing w:line="360" w:lineRule="auto"/>
        <w:jc w:val="both"/>
        <w:rPr>
          <w:highlight w:val="white"/>
        </w:rPr>
      </w:pPr>
      <w:r w:rsidDel="00000000" w:rsidR="00000000" w:rsidRPr="00000000">
        <w:rPr>
          <w:rtl w:val="0"/>
        </w:rPr>
      </w:r>
    </w:p>
    <w:p w:rsidR="00000000" w:rsidDel="00000000" w:rsidP="00000000" w:rsidRDefault="00000000" w:rsidRPr="00000000" w14:paraId="00000014">
      <w:pPr>
        <w:spacing w:line="360" w:lineRule="auto"/>
        <w:jc w:val="both"/>
        <w:rPr>
          <w:b w:val="1"/>
          <w:highlight w:val="white"/>
        </w:rPr>
      </w:pPr>
      <w:r w:rsidDel="00000000" w:rsidR="00000000" w:rsidRPr="00000000">
        <w:rPr>
          <w:b w:val="1"/>
          <w:highlight w:val="white"/>
          <w:rtl w:val="0"/>
        </w:rPr>
        <w:t xml:space="preserve">Liderança de mercado</w:t>
      </w:r>
    </w:p>
    <w:p w:rsidR="00000000" w:rsidDel="00000000" w:rsidP="00000000" w:rsidRDefault="00000000" w:rsidRPr="00000000" w14:paraId="00000015">
      <w:pPr>
        <w:spacing w:line="360" w:lineRule="auto"/>
        <w:jc w:val="both"/>
        <w:rPr>
          <w:highlight w:val="white"/>
        </w:rPr>
      </w:pPr>
      <w:r w:rsidDel="00000000" w:rsidR="00000000" w:rsidRPr="00000000">
        <w:rPr>
          <w:highlight w:val="white"/>
          <w:rtl w:val="0"/>
        </w:rPr>
        <w:t xml:space="preserve">No período acumulado de janeiro a dezembro de 2023, a Hilux manteve a liderança em seu segmento no Brasil, superando as 46 mil unidades vendidas. No Paraná, Estado que recebe o evento agrícola Show Rural Coopavel, o modelo também foi líder em vendas, com 30% de </w:t>
      </w:r>
      <w:r w:rsidDel="00000000" w:rsidR="00000000" w:rsidRPr="00000000">
        <w:rPr>
          <w:i w:val="1"/>
          <w:highlight w:val="white"/>
          <w:rtl w:val="0"/>
        </w:rPr>
        <w:t xml:space="preserve">market share</w:t>
      </w:r>
      <w:r w:rsidDel="00000000" w:rsidR="00000000" w:rsidRPr="00000000">
        <w:rPr>
          <w:highlight w:val="white"/>
          <w:rtl w:val="0"/>
        </w:rPr>
        <w:t xml:space="preserve">. </w:t>
      </w:r>
    </w:p>
    <w:p w:rsidR="00000000" w:rsidDel="00000000" w:rsidP="00000000" w:rsidRDefault="00000000" w:rsidRPr="00000000" w14:paraId="00000016">
      <w:pPr>
        <w:spacing w:line="360" w:lineRule="auto"/>
        <w:jc w:val="both"/>
        <w:rPr>
          <w:highlight w:val="white"/>
        </w:rPr>
      </w:pPr>
      <w:r w:rsidDel="00000000" w:rsidR="00000000" w:rsidRPr="00000000">
        <w:rPr>
          <w:rtl w:val="0"/>
        </w:rPr>
      </w:r>
    </w:p>
    <w:p w:rsidR="00000000" w:rsidDel="00000000" w:rsidP="00000000" w:rsidRDefault="00000000" w:rsidRPr="00000000" w14:paraId="00000017">
      <w:pPr>
        <w:spacing w:line="360" w:lineRule="auto"/>
        <w:jc w:val="both"/>
        <w:rPr>
          <w:highlight w:val="white"/>
        </w:rPr>
      </w:pPr>
      <w:r w:rsidDel="00000000" w:rsidR="00000000" w:rsidRPr="00000000">
        <w:rPr>
          <w:highlight w:val="white"/>
          <w:rtl w:val="0"/>
        </w:rPr>
        <w:t xml:space="preserve">A versão mais vendida da picape no Paraná é a SRX, com 33% do </w:t>
      </w:r>
      <w:r w:rsidDel="00000000" w:rsidR="00000000" w:rsidRPr="00000000">
        <w:rPr>
          <w:i w:val="1"/>
          <w:highlight w:val="white"/>
          <w:rtl w:val="0"/>
        </w:rPr>
        <w:t xml:space="preserve">mix</w:t>
      </w:r>
      <w:r w:rsidDel="00000000" w:rsidR="00000000" w:rsidRPr="00000000">
        <w:rPr>
          <w:highlight w:val="white"/>
          <w:rtl w:val="0"/>
        </w:rPr>
        <w:t xml:space="preserve">. Importante ressaltar que 42% das vendas de Hilux no PR se dão pelo canal de Vendas Diretas. </w:t>
      </w:r>
      <w:r w:rsidDel="00000000" w:rsidR="00000000" w:rsidRPr="00000000">
        <w:rPr>
          <w:rtl w:val="0"/>
        </w:rPr>
        <w:t xml:space="preserve">Nessa modalidade, as versões mais buscadas são Cabine Simples, Power Pack, SR e Chassi. </w:t>
      </w:r>
      <w:r w:rsidDel="00000000" w:rsidR="00000000" w:rsidRPr="00000000">
        <w:rPr>
          <w:highlight w:val="white"/>
          <w:rtl w:val="0"/>
        </w:rPr>
        <w:t xml:space="preserve">“Temos uma linha completa e capaz de atender aos mais diferentes perfis e necessidades dos nossos clientes. Essa versatilidade atrelada ao nosso DNA de Qualidade, Durabilidade e Confiabilidade é o que difere nossa picape campeã em vendas no País”, complementa o executivo. </w:t>
      </w:r>
    </w:p>
    <w:p w:rsidR="00000000" w:rsidDel="00000000" w:rsidP="00000000" w:rsidRDefault="00000000" w:rsidRPr="00000000" w14:paraId="00000018">
      <w:pPr>
        <w:spacing w:line="360" w:lineRule="auto"/>
        <w:jc w:val="both"/>
        <w:rPr>
          <w:highlight w:val="white"/>
        </w:rPr>
      </w:pPr>
      <w:r w:rsidDel="00000000" w:rsidR="00000000" w:rsidRPr="00000000">
        <w:rPr>
          <w:rtl w:val="0"/>
        </w:rPr>
      </w:r>
    </w:p>
    <w:p w:rsidR="00000000" w:rsidDel="00000000" w:rsidP="00000000" w:rsidRDefault="00000000" w:rsidRPr="00000000" w14:paraId="00000019">
      <w:pPr>
        <w:spacing w:line="360" w:lineRule="auto"/>
        <w:jc w:val="both"/>
        <w:rPr>
          <w:highlight w:val="white"/>
        </w:rPr>
      </w:pPr>
      <w:r w:rsidDel="00000000" w:rsidR="00000000" w:rsidRPr="00000000">
        <w:rPr>
          <w:highlight w:val="white"/>
          <w:rtl w:val="0"/>
        </w:rPr>
        <w:t xml:space="preserve">Já o SW4 também se manteve líder em vendas em seu segmento, com 58% de </w:t>
      </w:r>
      <w:r w:rsidDel="00000000" w:rsidR="00000000" w:rsidRPr="00000000">
        <w:rPr>
          <w:i w:val="1"/>
          <w:highlight w:val="white"/>
          <w:rtl w:val="0"/>
        </w:rPr>
        <w:t xml:space="preserve">market share </w:t>
      </w:r>
      <w:r w:rsidDel="00000000" w:rsidR="00000000" w:rsidRPr="00000000">
        <w:rPr>
          <w:highlight w:val="white"/>
          <w:rtl w:val="0"/>
        </w:rPr>
        <w:t xml:space="preserve">nacional. Na região do Paraná, essa liderança assegurou uma fatia de 52% do mercado. A versão SRX responde atualmente por 70% do </w:t>
      </w:r>
      <w:r w:rsidDel="00000000" w:rsidR="00000000" w:rsidRPr="00000000">
        <w:rPr>
          <w:i w:val="1"/>
          <w:highlight w:val="white"/>
          <w:rtl w:val="0"/>
        </w:rPr>
        <w:t xml:space="preserve">mix </w:t>
      </w:r>
      <w:r w:rsidDel="00000000" w:rsidR="00000000" w:rsidRPr="00000000">
        <w:rPr>
          <w:highlight w:val="white"/>
          <w:rtl w:val="0"/>
        </w:rPr>
        <w:t xml:space="preserve">do SUV, que tem vendas majoritariamente via varejo. </w:t>
      </w:r>
    </w:p>
    <w:p w:rsidR="00000000" w:rsidDel="00000000" w:rsidP="00000000" w:rsidRDefault="00000000" w:rsidRPr="00000000" w14:paraId="0000001A">
      <w:pPr>
        <w:spacing w:line="360" w:lineRule="auto"/>
        <w:jc w:val="both"/>
        <w:rPr>
          <w:highlight w:val="white"/>
        </w:rPr>
      </w:pPr>
      <w:r w:rsidDel="00000000" w:rsidR="00000000" w:rsidRPr="00000000">
        <w:rPr>
          <w:rtl w:val="0"/>
        </w:rPr>
      </w:r>
    </w:p>
    <w:p w:rsidR="00000000" w:rsidDel="00000000" w:rsidP="00000000" w:rsidRDefault="00000000" w:rsidRPr="00000000" w14:paraId="0000001B">
      <w:pPr>
        <w:spacing w:line="240" w:lineRule="auto"/>
        <w:jc w:val="both"/>
        <w:rPr>
          <w:b w:val="1"/>
          <w:color w:val="222222"/>
        </w:rPr>
      </w:pPr>
      <w:r w:rsidDel="00000000" w:rsidR="00000000" w:rsidRPr="00000000">
        <w:rPr>
          <w:b w:val="1"/>
          <w:color w:val="222222"/>
          <w:rtl w:val="0"/>
        </w:rPr>
        <w:t xml:space="preserve">Serviço</w:t>
      </w:r>
    </w:p>
    <w:p w:rsidR="00000000" w:rsidDel="00000000" w:rsidP="00000000" w:rsidRDefault="00000000" w:rsidRPr="00000000" w14:paraId="0000001C">
      <w:pPr>
        <w:spacing w:line="240" w:lineRule="auto"/>
        <w:jc w:val="both"/>
        <w:rPr>
          <w:b w:val="1"/>
          <w:color w:val="222222"/>
        </w:rPr>
      </w:pPr>
      <w:r w:rsidDel="00000000" w:rsidR="00000000" w:rsidRPr="00000000">
        <w:rPr>
          <w:rtl w:val="0"/>
        </w:rPr>
      </w:r>
    </w:p>
    <w:p w:rsidR="00000000" w:rsidDel="00000000" w:rsidP="00000000" w:rsidRDefault="00000000" w:rsidRPr="00000000" w14:paraId="0000001D">
      <w:pPr>
        <w:jc w:val="both"/>
        <w:rPr>
          <w:color w:val="222222"/>
        </w:rPr>
      </w:pPr>
      <w:r w:rsidDel="00000000" w:rsidR="00000000" w:rsidRPr="00000000">
        <w:rPr>
          <w:color w:val="222222"/>
          <w:rtl w:val="0"/>
        </w:rPr>
        <w:t xml:space="preserve">Local: Parque Show Rural Coopavel</w:t>
      </w:r>
    </w:p>
    <w:p w:rsidR="00000000" w:rsidDel="00000000" w:rsidP="00000000" w:rsidRDefault="00000000" w:rsidRPr="00000000" w14:paraId="0000001E">
      <w:pPr>
        <w:jc w:val="both"/>
        <w:rPr>
          <w:color w:val="222222"/>
        </w:rPr>
      </w:pPr>
      <w:r w:rsidDel="00000000" w:rsidR="00000000" w:rsidRPr="00000000">
        <w:rPr>
          <w:color w:val="222222"/>
          <w:rtl w:val="0"/>
        </w:rPr>
        <w:t xml:space="preserve">Endereço: BR – KM 277, 577, Cascavel – PR</w:t>
      </w:r>
    </w:p>
    <w:p w:rsidR="00000000" w:rsidDel="00000000" w:rsidP="00000000" w:rsidRDefault="00000000" w:rsidRPr="00000000" w14:paraId="0000001F">
      <w:pPr>
        <w:jc w:val="both"/>
        <w:rPr>
          <w:color w:val="222222"/>
        </w:rPr>
      </w:pPr>
      <w:r w:rsidDel="00000000" w:rsidR="00000000" w:rsidRPr="00000000">
        <w:rPr>
          <w:color w:val="222222"/>
          <w:rtl w:val="0"/>
        </w:rPr>
        <w:t xml:space="preserve">Período: De 5 a 9 de fevereiro</w:t>
      </w:r>
    </w:p>
    <w:p w:rsidR="00000000" w:rsidDel="00000000" w:rsidP="00000000" w:rsidRDefault="00000000" w:rsidRPr="00000000" w14:paraId="00000020">
      <w:pPr>
        <w:jc w:val="both"/>
        <w:rPr>
          <w:color w:val="222222"/>
          <w:highlight w:val="white"/>
        </w:rPr>
      </w:pPr>
      <w:r w:rsidDel="00000000" w:rsidR="00000000" w:rsidRPr="00000000">
        <w:rPr>
          <w:color w:val="222222"/>
          <w:rtl w:val="0"/>
        </w:rPr>
        <w:t xml:space="preserve">Horário de Funcionamento: das 8h às 18h</w:t>
      </w:r>
      <w:r w:rsidDel="00000000" w:rsidR="00000000" w:rsidRPr="00000000">
        <w:rPr>
          <w:rtl w:val="0"/>
        </w:rPr>
      </w:r>
    </w:p>
    <w:p w:rsidR="00000000" w:rsidDel="00000000" w:rsidP="00000000" w:rsidRDefault="00000000" w:rsidRPr="00000000" w14:paraId="00000021">
      <w:pPr>
        <w:jc w:val="both"/>
        <w:rPr>
          <w:highlight w:val="white"/>
        </w:rPr>
      </w:pPr>
      <w:r w:rsidDel="00000000" w:rsidR="00000000" w:rsidRPr="00000000">
        <w:rPr>
          <w:rtl w:val="0"/>
        </w:rPr>
      </w:r>
    </w:p>
    <w:p w:rsidR="00000000" w:rsidDel="00000000" w:rsidP="00000000" w:rsidRDefault="00000000" w:rsidRPr="00000000" w14:paraId="00000022">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3">
      <w:pPr>
        <w:pBdr>
          <w:bottom w:color="ffffff" w:space="0" w:sz="12" w:val="single"/>
        </w:pBdr>
        <w:shd w:fill="ffffff" w:val="clear"/>
        <w:spacing w:after="240" w:lineRule="auto"/>
        <w:jc w:val="both"/>
        <w:rPr>
          <w:b w:val="1"/>
          <w:sz w:val="24"/>
          <w:szCs w:val="24"/>
          <w:highlight w:val="white"/>
        </w:rPr>
      </w:pPr>
      <w:r w:rsidDel="00000000" w:rsidR="00000000" w:rsidRPr="00000000">
        <w:rPr>
          <w:b w:val="1"/>
          <w:sz w:val="24"/>
          <w:szCs w:val="24"/>
          <w:highlight w:val="white"/>
          <w:rtl w:val="0"/>
        </w:rPr>
        <w:t xml:space="preserve">Objetivos de desenvolvimento sustentável da ONU</w:t>
      </w:r>
    </w:p>
    <w:p w:rsidR="00000000" w:rsidDel="00000000" w:rsidP="00000000" w:rsidRDefault="00000000" w:rsidRPr="00000000" w14:paraId="00000024">
      <w:pPr>
        <w:shd w:fill="ffffff" w:val="clear"/>
        <w:spacing w:after="220" w:before="220" w:line="360" w:lineRule="auto"/>
        <w:jc w:val="both"/>
        <w:rPr>
          <w:b w:val="1"/>
          <w:color w:val="222222"/>
          <w:highlight w:val="white"/>
        </w:rPr>
      </w:pPr>
      <w:r w:rsidDel="00000000" w:rsidR="00000000" w:rsidRPr="00000000">
        <w:rPr>
          <w:rtl w:val="0"/>
        </w:rPr>
        <w:t xml:space="preserve">A divulgação deste material colabora diretamente para o seguinte Objetivos de Desenvolvimento Sustentável (ODS) ONU:</w:t>
      </w:r>
      <w:r w:rsidDel="00000000" w:rsidR="00000000" w:rsidRPr="00000000">
        <w:rPr>
          <w:rtl w:val="0"/>
        </w:rPr>
      </w:r>
    </w:p>
    <w:p w:rsidR="00000000" w:rsidDel="00000000" w:rsidP="00000000" w:rsidRDefault="00000000" w:rsidRPr="00000000" w14:paraId="00000025">
      <w:pPr>
        <w:pBdr>
          <w:bottom w:color="ffffff" w:space="0" w:sz="12" w:val="single"/>
        </w:pBdr>
        <w:shd w:fill="ffffff" w:val="clear"/>
        <w:spacing w:after="240" w:lineRule="auto"/>
        <w:jc w:val="both"/>
        <w:rPr>
          <w:b w:val="1"/>
          <w:color w:val="222222"/>
          <w:highlight w:val="white"/>
        </w:rPr>
      </w:pPr>
      <w:r w:rsidDel="00000000" w:rsidR="00000000" w:rsidRPr="00000000">
        <w:rPr>
          <w:b w:val="1"/>
          <w:color w:val="222222"/>
          <w:highlight w:val="white"/>
        </w:rPr>
        <w:drawing>
          <wp:inline distB="114300" distT="114300" distL="114300" distR="114300">
            <wp:extent cx="1023938" cy="1029135"/>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23938" cy="102913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360" w:lineRule="auto"/>
        <w:jc w:val="both"/>
        <w:rPr>
          <w:b w:val="1"/>
          <w:color w:val="222222"/>
          <w:highlight w:val="white"/>
        </w:rPr>
      </w:pPr>
      <w:r w:rsidDel="00000000" w:rsidR="00000000" w:rsidRPr="00000000">
        <w:rPr>
          <w:rtl w:val="0"/>
        </w:rPr>
      </w:r>
    </w:p>
    <w:p w:rsidR="00000000" w:rsidDel="00000000" w:rsidP="00000000" w:rsidRDefault="00000000" w:rsidRPr="00000000" w14:paraId="00000027">
      <w:pPr>
        <w:pBdr>
          <w:bottom w:color="ffffff" w:space="0" w:sz="12" w:val="single"/>
        </w:pBdr>
        <w:shd w:fill="ffffff" w:val="clear"/>
        <w:jc w:val="both"/>
        <w:rPr>
          <w:b w:val="1"/>
          <w:sz w:val="20"/>
          <w:szCs w:val="20"/>
          <w:highlight w:val="white"/>
        </w:rPr>
      </w:pPr>
      <w:r w:rsidDel="00000000" w:rsidR="00000000" w:rsidRPr="00000000">
        <w:rPr>
          <w:b w:val="1"/>
          <w:sz w:val="20"/>
          <w:szCs w:val="20"/>
          <w:highlight w:val="white"/>
          <w:rtl w:val="0"/>
        </w:rPr>
        <w:t xml:space="preserve">Sobre a Toyota do Brasil</w:t>
      </w:r>
    </w:p>
    <w:p w:rsidR="00000000" w:rsidDel="00000000" w:rsidP="00000000" w:rsidRDefault="00000000" w:rsidRPr="00000000" w14:paraId="00000028">
      <w:pPr>
        <w:pBdr>
          <w:bottom w:color="ffffff" w:space="0" w:sz="12" w:val="single"/>
        </w:pBdr>
        <w:shd w:fill="ffffff" w:val="clear"/>
        <w:spacing w:line="360" w:lineRule="auto"/>
        <w:jc w:val="both"/>
        <w:rPr>
          <w:i w:val="1"/>
          <w:sz w:val="16"/>
          <w:szCs w:val="16"/>
          <w:highlight w:val="white"/>
        </w:rPr>
      </w:pPr>
      <w:r w:rsidDel="00000000" w:rsidR="00000000" w:rsidRPr="00000000">
        <w:rPr>
          <w:i w:val="1"/>
          <w:sz w:val="16"/>
          <w:szCs w:val="16"/>
          <w:highlight w:val="white"/>
          <w:rtl w:val="0"/>
        </w:rPr>
        <w:t xml:space="preserve">A Toyota do Brasil está presente no País há 65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w:t>
      </w:r>
      <w:r w:rsidDel="00000000" w:rsidR="00000000" w:rsidRPr="00000000">
        <w:rPr>
          <w:sz w:val="16"/>
          <w:szCs w:val="16"/>
          <w:highlight w:val="white"/>
          <w:rtl w:val="0"/>
        </w:rPr>
        <w:t xml:space="preserve">plug-in</w:t>
      </w:r>
      <w:r w:rsidDel="00000000" w:rsidR="00000000" w:rsidRPr="00000000">
        <w:rPr>
          <w:i w:val="1"/>
          <w:sz w:val="16"/>
          <w:szCs w:val="16"/>
          <w:highlight w:val="white"/>
          <w:rtl w:val="0"/>
        </w:rPr>
        <w:t xml:space="preserve">,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70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w:t>
      </w:r>
      <w:r w:rsidDel="00000000" w:rsidR="00000000" w:rsidRPr="00000000">
        <w:rPr>
          <w:sz w:val="16"/>
          <w:szCs w:val="16"/>
          <w:highlight w:val="white"/>
          <w:rtl w:val="0"/>
        </w:rPr>
        <w:t xml:space="preserve">Happiness for All</w:t>
      </w:r>
      <w:r w:rsidDel="00000000" w:rsidR="00000000" w:rsidRPr="00000000">
        <w:rPr>
          <w:i w:val="1"/>
          <w:sz w:val="16"/>
          <w:szCs w:val="16"/>
          <w:highlight w:val="white"/>
          <w:rtl w:val="0"/>
        </w:rPr>
        <w:t xml:space="preserve">”)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8">
        <w:r w:rsidDel="00000000" w:rsidR="00000000" w:rsidRPr="00000000">
          <w:rPr>
            <w:i w:val="1"/>
            <w:sz w:val="16"/>
            <w:szCs w:val="16"/>
            <w:highlight w:val="white"/>
            <w:rtl w:val="0"/>
          </w:rPr>
          <w:t xml:space="preserve"> </w:t>
        </w:r>
      </w:hyperlink>
      <w:hyperlink r:id="rId9">
        <w:r w:rsidDel="00000000" w:rsidR="00000000" w:rsidRPr="00000000">
          <w:rPr>
            <w:i w:val="1"/>
            <w:sz w:val="16"/>
            <w:szCs w:val="16"/>
            <w:highlight w:val="white"/>
            <w:u w:val="single"/>
            <w:rtl w:val="0"/>
          </w:rPr>
          <w:t xml:space="preserve">Toyota Global</w:t>
        </w:r>
      </w:hyperlink>
      <w:r w:rsidDel="00000000" w:rsidR="00000000" w:rsidRPr="00000000">
        <w:rPr>
          <w:i w:val="1"/>
          <w:sz w:val="16"/>
          <w:szCs w:val="16"/>
          <w:highlight w:val="white"/>
          <w:rtl w:val="0"/>
        </w:rPr>
        <w:t xml:space="preserve"> e</w:t>
      </w:r>
      <w:hyperlink r:id="rId10">
        <w:r w:rsidDel="00000000" w:rsidR="00000000" w:rsidRPr="00000000">
          <w:rPr>
            <w:i w:val="1"/>
            <w:sz w:val="16"/>
            <w:szCs w:val="16"/>
            <w:highlight w:val="white"/>
            <w:rtl w:val="0"/>
          </w:rPr>
          <w:t xml:space="preserve"> </w:t>
        </w:r>
      </w:hyperlink>
      <w:hyperlink r:id="rId11">
        <w:r w:rsidDel="00000000" w:rsidR="00000000" w:rsidRPr="00000000">
          <w:rPr>
            <w:i w:val="1"/>
            <w:sz w:val="16"/>
            <w:szCs w:val="16"/>
            <w:highlight w:val="white"/>
            <w:u w:val="single"/>
            <w:rtl w:val="0"/>
          </w:rPr>
          <w:t xml:space="preserve">Toyota do Brasil</w:t>
        </w:r>
      </w:hyperlink>
      <w:r w:rsidDel="00000000" w:rsidR="00000000" w:rsidRPr="00000000">
        <w:rPr>
          <w:i w:val="1"/>
          <w:sz w:val="16"/>
          <w:szCs w:val="16"/>
          <w:highlight w:val="white"/>
          <w:rtl w:val="0"/>
        </w:rPr>
        <w:t xml:space="preserve">.</w:t>
      </w:r>
    </w:p>
    <w:p w:rsidR="00000000" w:rsidDel="00000000" w:rsidP="00000000" w:rsidRDefault="00000000" w:rsidRPr="00000000" w14:paraId="00000029">
      <w:pPr>
        <w:pBdr>
          <w:bottom w:color="ffffff" w:space="0" w:sz="12" w:val="single"/>
        </w:pBdr>
        <w:shd w:fill="ffffff" w:val="clear"/>
        <w:spacing w:line="360" w:lineRule="auto"/>
        <w:jc w:val="both"/>
        <w:rPr>
          <w:i w:val="1"/>
          <w:sz w:val="16"/>
          <w:szCs w:val="16"/>
          <w:highlight w:val="white"/>
        </w:rPr>
      </w:pPr>
      <w:r w:rsidDel="00000000" w:rsidR="00000000" w:rsidRPr="00000000">
        <w:rPr>
          <w:rtl w:val="0"/>
        </w:rPr>
      </w:r>
    </w:p>
    <w:p w:rsidR="00000000" w:rsidDel="00000000" w:rsidP="00000000" w:rsidRDefault="00000000" w:rsidRPr="00000000" w14:paraId="0000002A">
      <w:pPr>
        <w:spacing w:line="360" w:lineRule="auto"/>
        <w:jc w:val="both"/>
        <w:rPr>
          <w:b w:val="1"/>
          <w:highlight w:val="white"/>
        </w:rPr>
      </w:pPr>
      <w:r w:rsidDel="00000000" w:rsidR="00000000" w:rsidRPr="00000000">
        <w:rPr>
          <w:b w:val="1"/>
          <w:highlight w:val="white"/>
          <w:rtl w:val="0"/>
        </w:rPr>
        <w:t xml:space="preserve">Mais informações</w:t>
      </w:r>
    </w:p>
    <w:p w:rsidR="00000000" w:rsidDel="00000000" w:rsidP="00000000" w:rsidRDefault="00000000" w:rsidRPr="00000000" w14:paraId="0000002B">
      <w:pPr>
        <w:spacing w:line="360" w:lineRule="auto"/>
        <w:jc w:val="both"/>
        <w:rPr>
          <w:b w:val="1"/>
          <w:highlight w:val="white"/>
        </w:rPr>
      </w:pPr>
      <w:r w:rsidDel="00000000" w:rsidR="00000000" w:rsidRPr="00000000">
        <w:rPr>
          <w:b w:val="1"/>
          <w:highlight w:val="white"/>
          <w:rtl w:val="0"/>
        </w:rPr>
        <w:t xml:space="preserve">Toyota do Brasil – Departamento de Comunicação</w:t>
      </w:r>
    </w:p>
    <w:p w:rsidR="00000000" w:rsidDel="00000000" w:rsidP="00000000" w:rsidRDefault="00000000" w:rsidRPr="00000000" w14:paraId="0000002C">
      <w:pPr>
        <w:spacing w:line="360" w:lineRule="auto"/>
        <w:jc w:val="both"/>
        <w:rPr>
          <w:highlight w:val="white"/>
        </w:rPr>
      </w:pPr>
      <w:r w:rsidDel="00000000" w:rsidR="00000000" w:rsidRPr="00000000">
        <w:rPr>
          <w:highlight w:val="white"/>
          <w:rtl w:val="0"/>
        </w:rPr>
        <w:t xml:space="preserve">Kelly Buarque – </w:t>
      </w:r>
      <w:r w:rsidDel="00000000" w:rsidR="00000000" w:rsidRPr="00000000">
        <w:rPr>
          <w:highlight w:val="white"/>
          <w:u w:val="single"/>
          <w:rtl w:val="0"/>
        </w:rPr>
        <w:t xml:space="preserve">kbuarque@toyota.com.br</w:t>
      </w:r>
      <w:r w:rsidDel="00000000" w:rsidR="00000000" w:rsidRPr="00000000">
        <w:rPr>
          <w:highlight w:val="white"/>
          <w:rtl w:val="0"/>
        </w:rPr>
        <w:t xml:space="preserve"> </w:t>
      </w:r>
    </w:p>
    <w:p w:rsidR="00000000" w:rsidDel="00000000" w:rsidP="00000000" w:rsidRDefault="00000000" w:rsidRPr="00000000" w14:paraId="0000002D">
      <w:pPr>
        <w:spacing w:line="360" w:lineRule="auto"/>
        <w:jc w:val="both"/>
        <w:rPr>
          <w:highlight w:val="white"/>
          <w:u w:val="single"/>
        </w:rPr>
      </w:pPr>
      <w:r w:rsidDel="00000000" w:rsidR="00000000" w:rsidRPr="00000000">
        <w:rPr>
          <w:highlight w:val="white"/>
          <w:rtl w:val="0"/>
        </w:rPr>
        <w:t xml:space="preserve">Kessia Santos – </w:t>
      </w:r>
      <w:hyperlink r:id="rId12">
        <w:r w:rsidDel="00000000" w:rsidR="00000000" w:rsidRPr="00000000">
          <w:rPr>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2E">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F">
      <w:pPr>
        <w:spacing w:line="360" w:lineRule="auto"/>
        <w:jc w:val="both"/>
        <w:rPr>
          <w:b w:val="1"/>
          <w:highlight w:val="white"/>
        </w:rPr>
      </w:pPr>
      <w:r w:rsidDel="00000000" w:rsidR="00000000" w:rsidRPr="00000000">
        <w:rPr>
          <w:b w:val="1"/>
          <w:highlight w:val="white"/>
          <w:rtl w:val="0"/>
        </w:rPr>
        <w:t xml:space="preserve">RPMA Comunicação</w:t>
      </w:r>
    </w:p>
    <w:p w:rsidR="00000000" w:rsidDel="00000000" w:rsidP="00000000" w:rsidRDefault="00000000" w:rsidRPr="00000000" w14:paraId="00000030">
      <w:pPr>
        <w:spacing w:line="360" w:lineRule="auto"/>
        <w:jc w:val="both"/>
        <w:rPr>
          <w:highlight w:val="white"/>
          <w:u w:val="single"/>
        </w:rPr>
      </w:pPr>
      <w:r w:rsidDel="00000000" w:rsidR="00000000" w:rsidRPr="00000000">
        <w:rPr>
          <w:highlight w:val="white"/>
          <w:u w:val="single"/>
          <w:rtl w:val="0"/>
        </w:rPr>
        <w:t xml:space="preserve">toyota@rpmacomunicacao.com.br </w:t>
      </w:r>
    </w:p>
    <w:p w:rsidR="00000000" w:rsidDel="00000000" w:rsidP="00000000" w:rsidRDefault="00000000" w:rsidRPr="00000000" w14:paraId="00000031">
      <w:pPr>
        <w:spacing w:line="360" w:lineRule="auto"/>
        <w:jc w:val="both"/>
        <w:rPr>
          <w:highlight w:val="white"/>
        </w:rPr>
      </w:pPr>
      <w:r w:rsidDel="00000000" w:rsidR="00000000" w:rsidRPr="00000000">
        <w:rPr>
          <w:highlight w:val="white"/>
          <w:rtl w:val="0"/>
        </w:rPr>
        <w:t xml:space="preserve">Guilherme Magna – (11) 98600-8988</w:t>
      </w:r>
    </w:p>
    <w:p w:rsidR="00000000" w:rsidDel="00000000" w:rsidP="00000000" w:rsidRDefault="00000000" w:rsidRPr="00000000" w14:paraId="00000032">
      <w:pPr>
        <w:spacing w:line="360" w:lineRule="auto"/>
        <w:jc w:val="both"/>
        <w:rPr>
          <w:highlight w:val="white"/>
        </w:rPr>
      </w:pPr>
      <w:r w:rsidDel="00000000" w:rsidR="00000000" w:rsidRPr="00000000">
        <w:rPr>
          <w:highlight w:val="white"/>
          <w:rtl w:val="0"/>
        </w:rPr>
        <w:t xml:space="preserve">Leonardo de Araujo – (11) 96084-0473</w:t>
      </w:r>
    </w:p>
    <w:p w:rsidR="00000000" w:rsidDel="00000000" w:rsidP="00000000" w:rsidRDefault="00000000" w:rsidRPr="00000000" w14:paraId="00000033">
      <w:pPr>
        <w:spacing w:line="360" w:lineRule="auto"/>
        <w:jc w:val="both"/>
        <w:rPr>
          <w:highlight w:val="white"/>
        </w:rPr>
      </w:pPr>
      <w:bookmarkStart w:colFirst="0" w:colLast="0" w:name="_heading=h.gjdgxs" w:id="0"/>
      <w:bookmarkEnd w:id="0"/>
      <w:r w:rsidDel="00000000" w:rsidR="00000000" w:rsidRPr="00000000">
        <w:rPr>
          <w:highlight w:val="white"/>
          <w:rtl w:val="0"/>
        </w:rPr>
        <w:t xml:space="preserve">Henrique Carmo – (11) 98058-6298</w:t>
      </w:r>
    </w:p>
    <w:p w:rsidR="00000000" w:rsidDel="00000000" w:rsidP="00000000" w:rsidRDefault="00000000" w:rsidRPr="00000000" w14:paraId="00000034">
      <w:pPr>
        <w:spacing w:line="360" w:lineRule="auto"/>
        <w:jc w:val="both"/>
        <w:rPr>
          <w:b w:val="1"/>
          <w:sz w:val="28"/>
          <w:szCs w:val="28"/>
          <w:highlight w:val="white"/>
        </w:rPr>
      </w:pPr>
      <w:r w:rsidDel="00000000" w:rsidR="00000000" w:rsidRPr="00000000">
        <w:rPr>
          <w:b w:val="1"/>
          <w:highlight w:val="white"/>
          <w:rtl w:val="0"/>
        </w:rPr>
        <w:t xml:space="preserve">Tel.: (11) 5501-4655</w:t>
      </w:r>
      <w:r w:rsidDel="00000000" w:rsidR="00000000" w:rsidRPr="00000000">
        <w:rPr>
          <w:rtl w:val="0"/>
        </w:rPr>
      </w:r>
    </w:p>
    <w:p w:rsidR="00000000" w:rsidDel="00000000" w:rsidP="00000000" w:rsidRDefault="00000000" w:rsidRPr="00000000" w14:paraId="00000035">
      <w:pPr>
        <w:spacing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jc w:val="both"/>
        <w:rPr>
          <w:b w:val="1"/>
          <w:sz w:val="26"/>
          <w:szCs w:val="26"/>
          <w:highlight w:val="white"/>
        </w:rPr>
      </w:pPr>
      <w:r w:rsidDel="00000000" w:rsidR="00000000" w:rsidRPr="00000000">
        <w:rPr>
          <w:rtl w:val="0"/>
        </w:rPr>
      </w:r>
    </w:p>
    <w:p w:rsidR="00000000" w:rsidDel="00000000" w:rsidP="00000000" w:rsidRDefault="00000000" w:rsidRPr="00000000" w14:paraId="00000037">
      <w:pPr>
        <w:spacing w:before="240" w:lineRule="auto"/>
        <w:jc w:val="both"/>
        <w:rPr>
          <w:sz w:val="24"/>
          <w:szCs w:val="24"/>
          <w:highlight w:val="white"/>
        </w:rPr>
      </w:pPr>
      <w:r w:rsidDel="00000000" w:rsidR="00000000" w:rsidRPr="00000000">
        <w:rPr>
          <w:rtl w:val="0"/>
        </w:rPr>
      </w:r>
    </w:p>
    <w:sectPr>
      <w:headerReference r:id="rId13" w:type="default"/>
      <w:headerReference r:id="rId14" w:type="first"/>
      <w:headerReference r:id="rId15"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7"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7"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-152393</wp:posOffset>
          </wp:positionV>
          <wp:extent cx="757237" cy="555307"/>
          <wp:effectExtent b="0" l="0" r="0" t="0"/>
          <wp:wrapNone/>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257175</wp:posOffset>
          </wp:positionH>
          <wp:positionV relativeFrom="paragraph">
            <wp:posOffset>-95241</wp:posOffset>
          </wp:positionV>
          <wp:extent cx="1468755" cy="467995"/>
          <wp:effectExtent b="0" l="0" r="0" t="0"/>
          <wp:wrapNone/>
          <wp:docPr id="1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468755" cy="46799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8"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8"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9"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9"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C62A41"/>
    <w:rPr>
      <w:b w:val="1"/>
      <w:bCs w:val="1"/>
    </w:rPr>
  </w:style>
  <w:style w:type="character" w:styleId="AssuntodocomentrioChar" w:customStyle="1">
    <w:name w:val="Assunto do comentário Char"/>
    <w:basedOn w:val="TextodecomentrioChar"/>
    <w:link w:val="Assuntodocomentrio"/>
    <w:uiPriority w:val="99"/>
    <w:semiHidden w:val="1"/>
    <w:rsid w:val="00C62A4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com.br" TargetMode="External"/><Relationship Id="rId10" Type="http://schemas.openxmlformats.org/officeDocument/2006/relationships/hyperlink" Target="https://www.toyota.com.br" TargetMode="External"/><Relationship Id="rId13" Type="http://schemas.openxmlformats.org/officeDocument/2006/relationships/header" Target="header1.xml"/><Relationship Id="rId12" Type="http://schemas.openxmlformats.org/officeDocument/2006/relationships/hyperlink" Target="mailto:kosantos@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global.com" TargetMode="External"/><Relationship Id="rId15" Type="http://schemas.openxmlformats.org/officeDocument/2006/relationships/header" Target="header2.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toyota-glob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ra3LkRp5TxAlTafZqex/JOIemA==">CgMxLjAyCGguZ2pkZ3hzOAByITF2d1hEZWR4c2cxNUxnVkNKQjhCY2RBaFpjdV9XamNENw==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2024-01-23T17:19:00Z</dcterms:created>
  <dc:creator>Kelly Buarque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3e975b-7b34-49da-9033-9c8f8f7bcde3_SiteId">
    <vt:lpwstr>3855fb14-c221-4399-b3f8-97d96a4ce45d</vt:lpwstr>
  </property>
  <property fmtid="{D5CDD505-2E9C-101B-9397-08002B2CF9AE}" pid="3" name="MSIP_Label_023e975b-7b34-49da-9033-9c8f8f7bcde3_ActionId">
    <vt:lpwstr>90676a08-92e3-4301-ad42-5fa9d01d9975</vt:lpwstr>
  </property>
  <property fmtid="{D5CDD505-2E9C-101B-9397-08002B2CF9AE}" pid="4" name="ClassificationContentMarkingHeaderFontProps">
    <vt:lpwstr>#008000,10,MS UI Gothic</vt:lpwstr>
  </property>
  <property fmtid="{D5CDD505-2E9C-101B-9397-08002B2CF9AE}" pid="5" name="ClassificationContentMarkingHeaderText">
    <vt:lpwstr>• PUBLIC 公開</vt:lpwstr>
  </property>
  <property fmtid="{D5CDD505-2E9C-101B-9397-08002B2CF9AE}" pid="6" name="MSIP_Label_023e975b-7b34-49da-9033-9c8f8f7bcde3_Name">
    <vt:lpwstr>Public 公開</vt:lpwstr>
  </property>
  <property fmtid="{D5CDD505-2E9C-101B-9397-08002B2CF9AE}" pid="7" name="MSIP_Label_023e975b-7b34-49da-9033-9c8f8f7bcde3_Method">
    <vt:lpwstr>Privileged</vt:lpwstr>
  </property>
  <property fmtid="{D5CDD505-2E9C-101B-9397-08002B2CF9AE}" pid="8" name="MSIP_Label_023e975b-7b34-49da-9033-9c8f8f7bcde3_SetDate">
    <vt:lpwstr>2023-12-27T14:12:34Z</vt:lpwstr>
  </property>
  <property fmtid="{D5CDD505-2E9C-101B-9397-08002B2CF9AE}" pid="9" name="MSIP_Label_023e975b-7b34-49da-9033-9c8f8f7bcde3_ContentBits">
    <vt:lpwstr>1</vt:lpwstr>
  </property>
  <property fmtid="{D5CDD505-2E9C-101B-9397-08002B2CF9AE}" pid="10" name="MSIP_Label_023e975b-7b34-49da-9033-9c8f8f7bcde3_Enabled">
    <vt:lpwstr>true</vt:lpwstr>
  </property>
  <property fmtid="{D5CDD505-2E9C-101B-9397-08002B2CF9AE}" pid="11" name="ClassificationContentMarkingHeaderShapeIds">
    <vt:lpwstr>24db963c,6f4aa565,105aa912</vt:lpwstr>
  </property>
  <property fmtid="{D5CDD505-2E9C-101B-9397-08002B2CF9AE}" pid="12" name="MSIP_Label_023e975b-7b34-49da-9033-9c8f8f7bcde3_SiteId">
    <vt:lpwstr>3855fb14-c221-4399-b3f8-97d96a4ce45d</vt:lpwstr>
  </property>
  <property fmtid="{D5CDD505-2E9C-101B-9397-08002B2CF9AE}" pid="13" name="MSIP_Label_023e975b-7b34-49da-9033-9c8f8f7bcde3_ActionId">
    <vt:lpwstr>90676a08-92e3-4301-ad42-5fa9d01d9975</vt:lpwstr>
  </property>
  <property fmtid="{D5CDD505-2E9C-101B-9397-08002B2CF9AE}" pid="14" name="ClassificationContentMarkingHeaderFontProps">
    <vt:lpwstr>#008000,10,MS UI Gothic</vt:lpwstr>
  </property>
  <property fmtid="{D5CDD505-2E9C-101B-9397-08002B2CF9AE}" pid="15" name="ClassificationContentMarkingHeaderText">
    <vt:lpwstr>• PUBLIC 公開</vt:lpwstr>
  </property>
  <property fmtid="{D5CDD505-2E9C-101B-9397-08002B2CF9AE}" pid="16" name="MSIP_Label_023e975b-7b34-49da-9033-9c8f8f7bcde3_Name">
    <vt:lpwstr>Public 公開</vt:lpwstr>
  </property>
  <property fmtid="{D5CDD505-2E9C-101B-9397-08002B2CF9AE}" pid="17" name="MSIP_Label_023e975b-7b34-49da-9033-9c8f8f7bcde3_Method">
    <vt:lpwstr>Privileged</vt:lpwstr>
  </property>
  <property fmtid="{D5CDD505-2E9C-101B-9397-08002B2CF9AE}" pid="18" name="MSIP_Label_023e975b-7b34-49da-9033-9c8f8f7bcde3_SetDate">
    <vt:lpwstr>2023-12-27T14:12:34Z</vt:lpwstr>
  </property>
  <property fmtid="{D5CDD505-2E9C-101B-9397-08002B2CF9AE}" pid="19" name="MSIP_Label_023e975b-7b34-49da-9033-9c8f8f7bcde3_ContentBits">
    <vt:lpwstr>1</vt:lpwstr>
  </property>
  <property fmtid="{D5CDD505-2E9C-101B-9397-08002B2CF9AE}" pid="20" name="MSIP_Label_023e975b-7b34-49da-9033-9c8f8f7bcde3_Enabled">
    <vt:lpwstr>true</vt:lpwstr>
  </property>
  <property fmtid="{D5CDD505-2E9C-101B-9397-08002B2CF9AE}" pid="21" name="ClassificationContentMarkingHeaderShapeIds">
    <vt:lpwstr>24db963c,6f4aa565,105aa912</vt:lpwstr>
  </property>
</Properties>
</file>