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Toyota divulga vencedores do concurso de arte “Carro dos Sonhos”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Mais de 750 crianças e adolescentes, de 4 a 15, anos de todo o Brasil, enviaram seus desenhos para avaliação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nove mais criativos, em três categorias, foram selecionados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São Paulo, 26 de fevereiro de 2024 -</w:t>
      </w:r>
      <w:r w:rsidDel="00000000" w:rsidR="00000000" w:rsidRPr="00000000">
        <w:rPr>
          <w:rFonts w:ascii="Aptos" w:cs="Aptos" w:eastAsia="Aptos" w:hAnsi="Aptos"/>
          <w:rtl w:val="0"/>
        </w:rPr>
        <w:t xml:space="preserve"> A Toyota do Brasil concluiu a 17ª edição do tradicional concurso de arte ‘Carro dos Sonhos’ e selecionou nove ganhadores divididos em três categorias, de acordo com a faixa etária: de 4 a 7 anos, de 8 a 11 anos e de 12 a 15 anos. Ao todo foram recebidas mais de 750 inscrições. O concurso teve como objetivo estimular a criatividade de crianças e adolescentes por meio da expressão artística.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Durante o processo de criação, os participantes puderam utilizar tinta, lápis de cor, hidrocor, aquarela, guache e grafite. Um júri composto por colaboradores e executivos da Toyota tiveram a tarefa de escolher os melhores deste ano.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ptos" w:cs="Aptos" w:eastAsia="Aptos" w:hAnsi="Aptos"/>
        </w:rPr>
      </w:pPr>
      <w:bookmarkStart w:colFirst="0" w:colLast="0" w:name="_heading=h.1fob9te" w:id="0"/>
      <w:bookmarkEnd w:id="0"/>
      <w:r w:rsidDel="00000000" w:rsidR="00000000" w:rsidRPr="00000000">
        <w:rPr>
          <w:rFonts w:ascii="Aptos" w:cs="Aptos" w:eastAsia="Aptos" w:hAnsi="Aptos"/>
          <w:rtl w:val="0"/>
        </w:rPr>
        <w:t xml:space="preserve">“O ‘Concurso Carro dos Sonhos’ é tradicional e, a cada ano, somos surpreendidos positivamente com a qualidade, desenvolvimento e criação dos desenhos, que trazem o olhar atento de crianças e adolescentes sobre o futuro. Mais do que incentivar a criatividade, nesta edição, por meio do concurso, pudemos integrar as ações de impacto nas comunidades em que estamos presentes, com iniciativas em três projetos e associações para incentivo à educação”, destaca Otacílio do Nascimento, gerente de Comunicação Corporativa da Toyota do Brasil.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Confira abaixo a lista dos ganhadores do concurso ‘Carro dos Sonhos 2024’: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Aptos" w:cs="Aptos" w:eastAsia="Aptos" w:hAnsi="Aptos"/>
          <w:u w:val="single"/>
        </w:rPr>
      </w:pPr>
      <w:r w:rsidDel="00000000" w:rsidR="00000000" w:rsidRPr="00000000">
        <w:rPr>
          <w:rFonts w:ascii="Aptos" w:cs="Aptos" w:eastAsia="Aptos" w:hAnsi="Aptos"/>
          <w:u w:val="single"/>
          <w:rtl w:val="0"/>
        </w:rPr>
        <w:t xml:space="preserve">Categoria de 4 a 7 anos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1º lugar: Sabrina Silva – 7 anos (Rebouças/PR) | Carro Moinho dos Sonhos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2º lugar: Pedro Caneschi – 7 anos (Santos Dumont/MG) | Carro Portal Bolha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3º lugar: Gabrielly dos Santos – 7 anos (Sorocaba/SP)| Carro Ecofuturo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ptos" w:cs="Aptos" w:eastAsia="Aptos" w:hAnsi="Aptos"/>
          <w:u w:val="single"/>
        </w:rPr>
      </w:pPr>
      <w:r w:rsidDel="00000000" w:rsidR="00000000" w:rsidRPr="00000000">
        <w:rPr>
          <w:rFonts w:ascii="Aptos" w:cs="Aptos" w:eastAsia="Aptos" w:hAnsi="Aptos"/>
          <w:u w:val="single"/>
          <w:rtl w:val="0"/>
        </w:rPr>
        <w:t xml:space="preserve">Categoria de 8 a 11 anos 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1º lugar: Yasmin Silva – 10 anos (Rebouças/PR) | Carro Arara Azul 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2º lugar: Liz Ferreira – 9 anos (Belo Horizonte/MG) | </w:t>
      </w:r>
      <w:r w:rsidDel="00000000" w:rsidR="00000000" w:rsidRPr="00000000">
        <w:rPr>
          <w:rtl w:val="0"/>
        </w:rPr>
        <w:t xml:space="preserve">TOYota! TOYota! TOYota!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3º lugar: Camila Santos – 11 anos (São Bernardo do Campo/SP) | Wing Car 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ptos" w:cs="Aptos" w:eastAsia="Aptos" w:hAnsi="Aptos"/>
          <w:u w:val="single"/>
        </w:rPr>
      </w:pPr>
      <w:r w:rsidDel="00000000" w:rsidR="00000000" w:rsidRPr="00000000">
        <w:rPr>
          <w:rFonts w:ascii="Aptos" w:cs="Aptos" w:eastAsia="Aptos" w:hAnsi="Aptos"/>
          <w:u w:val="single"/>
          <w:rtl w:val="0"/>
        </w:rPr>
        <w:t xml:space="preserve">Categoria de 12 a 15 anos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1º lugar: Edson Carneiro – 15 anos (Riachão do Jacuípe/ BA) | </w:t>
      </w:r>
      <w:r w:rsidDel="00000000" w:rsidR="00000000" w:rsidRPr="00000000">
        <w:rPr>
          <w:rtl w:val="0"/>
        </w:rPr>
        <w:t xml:space="preserve">Carro Prismático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2º lugar: Diogo Moraes – 15 anos (Juiz de Fora/MG) | </w:t>
      </w:r>
      <w:r w:rsidDel="00000000" w:rsidR="00000000" w:rsidRPr="00000000">
        <w:rPr>
          <w:rtl w:val="0"/>
        </w:rPr>
        <w:t xml:space="preserve">O Carro Sugador das Impurezas da Atmosfera e dos Oceanos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3º lugar: Heitor Barizon – 15 anos (Araraquara/SP) | </w:t>
      </w:r>
      <w:r w:rsidDel="00000000" w:rsidR="00000000" w:rsidRPr="00000000">
        <w:rPr>
          <w:rtl w:val="0"/>
        </w:rPr>
        <w:t xml:space="preserve">O abstrato transformado em carro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Entre os prêmios oferecidos estão: Playstation 5 para os primeiros lugares; Xbox Series S, para os segundos colocados, e; Nintendo Switch para os terceiros..  Os vencedores da etapa nacional também irão concorrer na etapa mundial e a Toyota irá divulgar em breve detalhes sobre a competição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Os vencedores da etapa nacional também irão concorrer na etapa mundial e a Toyota irá divulgar em breve detalhes sobre a competição. 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ptos" w:cs="Aptos" w:eastAsia="Aptos" w:hAnsi="Apto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A divulgação deste material colabora diretamente para o seguinte Objetivo de Desenvolvimento Sustentável da ONU: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</w:rPr>
        <w:drawing>
          <wp:inline distB="0" distT="0" distL="0" distR="0">
            <wp:extent cx="1028700" cy="1028700"/>
            <wp:effectExtent b="0" l="0" r="0" t="0"/>
            <wp:docPr descr="Desenho de uma placa&#10;&#10;Descrição gerada automaticamente" id="58114052" name="image2.png"/>
            <a:graphic>
              <a:graphicData uri="http://schemas.openxmlformats.org/drawingml/2006/picture">
                <pic:pic>
                  <pic:nvPicPr>
                    <pic:cNvPr descr="Desenho de uma placa&#10;&#10;Descrição gerada automaticament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ptos" w:cs="Aptos" w:eastAsia="Aptos" w:hAnsi="Aptos"/>
          <w:b w:val="1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Aptos" w:cs="Aptos" w:eastAsia="Aptos" w:hAnsi="Aptos"/>
          <w:b w:val="1"/>
          <w:highlight w:val="whit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ptos" w:cs="Aptos" w:eastAsia="Aptos" w:hAnsi="Aptos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ptos" w:cs="Aptos" w:eastAsia="Aptos" w:hAnsi="Aptos"/>
          <w:b w:val="1"/>
          <w:i w:val="1"/>
          <w:sz w:val="18"/>
          <w:szCs w:val="18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ptos" w:cs="Aptos" w:eastAsia="Aptos" w:hAnsi="Aptos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ptos" w:cs="Aptos" w:eastAsia="Aptos" w:hAnsi="Aptos"/>
          <w:i w:val="1"/>
          <w:sz w:val="18"/>
          <w:szCs w:val="18"/>
          <w:highlight w:val="white"/>
          <w:rtl w:val="0"/>
        </w:rPr>
        <w:t xml:space="preserve"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ptos" w:cs="Aptos" w:eastAsia="Aptos" w:hAnsi="Aptos"/>
          <w:sz w:val="18"/>
          <w:szCs w:val="18"/>
          <w:highlight w:val="white"/>
          <w:rtl w:val="0"/>
        </w:rPr>
        <w:t xml:space="preserve">plug-in</w:t>
      </w:r>
      <w:r w:rsidDel="00000000" w:rsidR="00000000" w:rsidRPr="00000000">
        <w:rPr>
          <w:rFonts w:ascii="Aptos" w:cs="Aptos" w:eastAsia="Aptos" w:hAnsi="Aptos"/>
          <w:i w:val="1"/>
          <w:sz w:val="18"/>
          <w:szCs w:val="18"/>
          <w:highlight w:val="white"/>
          <w:rtl w:val="0"/>
        </w:rPr>
        <w:t xml:space="preserve">, 100% a bateria ou movidos a hidrogênio. 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70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 w:rsidDel="00000000" w:rsidR="00000000" w:rsidRPr="00000000">
        <w:rPr>
          <w:rFonts w:ascii="Aptos" w:cs="Aptos" w:eastAsia="Aptos" w:hAnsi="Aptos"/>
          <w:sz w:val="18"/>
          <w:szCs w:val="18"/>
          <w:highlight w:val="white"/>
          <w:rtl w:val="0"/>
        </w:rPr>
        <w:t xml:space="preserve">Happiness for All</w:t>
      </w:r>
      <w:r w:rsidDel="00000000" w:rsidR="00000000" w:rsidRPr="00000000">
        <w:rPr>
          <w:rFonts w:ascii="Aptos" w:cs="Aptos" w:eastAsia="Aptos" w:hAnsi="Aptos"/>
          <w:i w:val="1"/>
          <w:sz w:val="18"/>
          <w:szCs w:val="18"/>
          <w:highlight w:val="white"/>
          <w:rtl w:val="0"/>
        </w:rPr>
        <w:t xml:space="preserve"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8">
        <w:r w:rsidDel="00000000" w:rsidR="00000000" w:rsidRPr="00000000">
          <w:rPr>
            <w:rFonts w:ascii="Aptos" w:cs="Aptos" w:eastAsia="Aptos" w:hAnsi="Aptos"/>
            <w:i w:val="1"/>
            <w:sz w:val="18"/>
            <w:szCs w:val="18"/>
            <w:highlight w:val="whit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ptos" w:cs="Aptos" w:eastAsia="Aptos" w:hAnsi="Aptos"/>
            <w:i w:val="1"/>
            <w:sz w:val="18"/>
            <w:szCs w:val="18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ptos" w:cs="Aptos" w:eastAsia="Aptos" w:hAnsi="Aptos"/>
          <w:i w:val="1"/>
          <w:sz w:val="18"/>
          <w:szCs w:val="18"/>
          <w:highlight w:val="white"/>
          <w:rtl w:val="0"/>
        </w:rPr>
        <w:t xml:space="preserve"> e</w:t>
      </w:r>
      <w:hyperlink r:id="rId10">
        <w:r w:rsidDel="00000000" w:rsidR="00000000" w:rsidRPr="00000000">
          <w:rPr>
            <w:rFonts w:ascii="Aptos" w:cs="Aptos" w:eastAsia="Aptos" w:hAnsi="Aptos"/>
            <w:i w:val="1"/>
            <w:sz w:val="18"/>
            <w:szCs w:val="18"/>
            <w:highlight w:val="white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Aptos" w:cs="Aptos" w:eastAsia="Aptos" w:hAnsi="Aptos"/>
            <w:i w:val="1"/>
            <w:sz w:val="18"/>
            <w:szCs w:val="18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ptos" w:cs="Aptos" w:eastAsia="Aptos" w:hAnsi="Aptos"/>
          <w:i w:val="1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ptos" w:cs="Aptos" w:eastAsia="Aptos" w:hAnsi="Aptos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ptos" w:cs="Aptos" w:eastAsia="Aptos" w:hAnsi="Aptos"/>
          <w:b w:val="1"/>
          <w:highlight w:val="white"/>
        </w:rPr>
      </w:pPr>
      <w:r w:rsidDel="00000000" w:rsidR="00000000" w:rsidRPr="00000000">
        <w:rPr>
          <w:rFonts w:ascii="Aptos" w:cs="Aptos" w:eastAsia="Aptos" w:hAnsi="Aptos"/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ptos" w:cs="Aptos" w:eastAsia="Aptos" w:hAnsi="Aptos"/>
          <w:b w:val="1"/>
          <w:highlight w:val="white"/>
        </w:rPr>
      </w:pPr>
      <w:r w:rsidDel="00000000" w:rsidR="00000000" w:rsidRPr="00000000">
        <w:rPr>
          <w:rFonts w:ascii="Aptos" w:cs="Aptos" w:eastAsia="Aptos" w:hAnsi="Aptos"/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ptos" w:cs="Aptos" w:eastAsia="Aptos" w:hAnsi="Aptos"/>
          <w:highlight w:val="white"/>
        </w:rPr>
      </w:pPr>
      <w:r w:rsidDel="00000000" w:rsidR="00000000" w:rsidRPr="00000000">
        <w:rPr>
          <w:rFonts w:ascii="Aptos" w:cs="Aptos" w:eastAsia="Aptos" w:hAnsi="Aptos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ptos" w:cs="Aptos" w:eastAsia="Aptos" w:hAnsi="Aptos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ptos" w:cs="Aptos" w:eastAsia="Aptos" w:hAnsi="Apto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ptos" w:cs="Aptos" w:eastAsia="Aptos" w:hAnsi="Aptos"/>
          <w:highlight w:val="white"/>
          <w:u w:val="single"/>
        </w:rPr>
      </w:pPr>
      <w:r w:rsidDel="00000000" w:rsidR="00000000" w:rsidRPr="00000000">
        <w:rPr>
          <w:rFonts w:ascii="Aptos" w:cs="Aptos" w:eastAsia="Aptos" w:hAnsi="Aptos"/>
          <w:highlight w:val="white"/>
          <w:rtl w:val="0"/>
        </w:rPr>
        <w:t xml:space="preserve">Kessia Santos – </w:t>
      </w:r>
      <w:hyperlink r:id="rId12">
        <w:r w:rsidDel="00000000" w:rsidR="00000000" w:rsidRPr="00000000">
          <w:rPr>
            <w:rFonts w:ascii="Aptos" w:cs="Aptos" w:eastAsia="Aptos" w:hAnsi="Aptos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ptos" w:cs="Aptos" w:eastAsia="Aptos" w:hAnsi="Aptos"/>
          <w:sz w:val="24"/>
          <w:szCs w:val="24"/>
          <w:highlight w:val="whit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ptos" w:cs="Aptos" w:eastAsia="Aptos" w:hAnsi="Aptos"/>
          <w:b w:val="1"/>
          <w:highlight w:val="white"/>
        </w:rPr>
      </w:pPr>
      <w:r w:rsidDel="00000000" w:rsidR="00000000" w:rsidRPr="00000000">
        <w:rPr>
          <w:rFonts w:ascii="Aptos" w:cs="Aptos" w:eastAsia="Aptos" w:hAnsi="Aptos"/>
          <w:b w:val="1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ptos" w:cs="Aptos" w:eastAsia="Aptos" w:hAnsi="Aptos"/>
          <w:highlight w:val="white"/>
          <w:u w:val="single"/>
        </w:rPr>
      </w:pPr>
      <w:r w:rsidDel="00000000" w:rsidR="00000000" w:rsidRPr="00000000">
        <w:rPr>
          <w:rFonts w:ascii="Aptos" w:cs="Aptos" w:eastAsia="Aptos" w:hAnsi="Aptos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ptos" w:cs="Aptos" w:eastAsia="Aptos" w:hAnsi="Aptos"/>
          <w:b w:val="1"/>
          <w:highlight w:val="white"/>
        </w:rPr>
      </w:pPr>
      <w:r w:rsidDel="00000000" w:rsidR="00000000" w:rsidRPr="00000000">
        <w:rPr>
          <w:rFonts w:ascii="Aptos" w:cs="Aptos" w:eastAsia="Aptos" w:hAnsi="Aptos"/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ptos" w:cs="Aptos" w:eastAsia="Aptos" w:hAnsi="Aptos"/>
          <w:b w:val="1"/>
          <w:highlight w:val="white"/>
        </w:rPr>
      </w:pPr>
      <w:r w:rsidDel="00000000" w:rsidR="00000000" w:rsidRPr="00000000">
        <w:rPr>
          <w:rFonts w:ascii="Aptos" w:cs="Aptos" w:eastAsia="Aptos" w:hAnsi="Aptos"/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b w:val="1"/>
          <w:highlight w:val="white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-199983</wp:posOffset>
          </wp:positionV>
          <wp:extent cx="757237" cy="555307"/>
          <wp:effectExtent b="0" l="0" r="0" t="0"/>
          <wp:wrapSquare wrapText="bothSides" distB="114300" distT="114300" distL="114300" distR="114300"/>
          <wp:docPr id="581140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-70432</wp:posOffset>
          </wp:positionH>
          <wp:positionV relativeFrom="paragraph">
            <wp:posOffset>-116139</wp:posOffset>
          </wp:positionV>
          <wp:extent cx="1468755" cy="467995"/>
          <wp:effectExtent b="0" l="0" r="0" t="0"/>
          <wp:wrapNone/>
          <wp:docPr id="5811405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5811404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58114049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290" cy="796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5811404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58114048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290" cy="796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52" w:customStyle="1">
    <w:name w:val="Table Normal5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1" w:customStyle="1">
    <w:name w:val="Table Normal5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" w:customStyle="1">
    <w:name w:val="Table Normal5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9" w:customStyle="1">
    <w:name w:val="Table Normal4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8" w:customStyle="1">
    <w:name w:val="Table Normal4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7" w:customStyle="1">
    <w:name w:val="Table Normal4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6" w:customStyle="1">
    <w:name w:val="Table Normal4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5" w:customStyle="1">
    <w:name w:val="Table Normal4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4" w:customStyle="1">
    <w:name w:val="Table Normal4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3" w:customStyle="1">
    <w:name w:val="Table Normal4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2" w:customStyle="1">
    <w:name w:val="Table Normal4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1" w:customStyle="1">
    <w:name w:val="Table Normal4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" w:customStyle="1">
    <w:name w:val="Table Normal3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" w:customStyle="1">
    <w:name w:val="Table Normal3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" w:customStyle="1">
    <w:name w:val="Table Normal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" w:customStyle="1">
    <w:name w:val="Table Normal3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" w:customStyle="1">
    <w:name w:val="Table Normal3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" w:customStyle="1">
    <w:name w:val="Table Normal3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" w:customStyle="1">
    <w:name w:val="Table Normal3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" w:customStyle="1">
    <w:name w:val="Table Normal3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" w:customStyle="1">
    <w:name w:val="Table Normal3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.com.br" TargetMode="External"/><Relationship Id="rId10" Type="http://schemas.openxmlformats.org/officeDocument/2006/relationships/hyperlink" Target="https://www.toyota.com.br" TargetMode="External"/><Relationship Id="rId13" Type="http://schemas.openxmlformats.org/officeDocument/2006/relationships/header" Target="header1.xml"/><Relationship Id="rId12" Type="http://schemas.openxmlformats.org/officeDocument/2006/relationships/hyperlink" Target="mailto:kosantos@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-global.com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toyota-globa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BnPwWT0Z/8pNDsVInzmMc59j2w==">CgMxLjAyCWguMWZvYjl0ZTIJaC4zMGowemxsOAByITFXZjdtUFVqUE9ONTR5elhON21hZkd5OFZXS0hwYWN5SA==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2024-02-23T11:24:00Z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MSIP_Label_023e975b-7b34-49da-9033-9c8f8f7bcde3_SiteId">
    <vt:lpwstr>3855fb14-c221-4399-b3f8-97d96a4ce45d</vt:lpwstr>
  </property>
  <property fmtid="{D5CDD505-2E9C-101B-9397-08002B2CF9AE}" pid="13" name="MSIP_Label_023e975b-7b34-49da-9033-9c8f8f7bcde3_ActionId">
    <vt:lpwstr>99fc1fa2-5bfd-4d6d-900e-54aa88779821</vt:lpwstr>
  </property>
  <property fmtid="{D5CDD505-2E9C-101B-9397-08002B2CF9AE}" pid="14" name="ClassificationContentMarkingHeaderFontProps">
    <vt:lpwstr>#008000,10,MS UI Gothic</vt:lpwstr>
  </property>
  <property fmtid="{D5CDD505-2E9C-101B-9397-08002B2CF9AE}" pid="15" name="ClassificationContentMarkingHeaderText">
    <vt:lpwstr>• PUBLIC 公開</vt:lpwstr>
  </property>
  <property fmtid="{D5CDD505-2E9C-101B-9397-08002B2CF9AE}" pid="16" name="MSIP_Label_023e975b-7b34-49da-9033-9c8f8f7bcde3_Name">
    <vt:lpwstr>Public 公開</vt:lpwstr>
  </property>
  <property fmtid="{D5CDD505-2E9C-101B-9397-08002B2CF9AE}" pid="17" name="MSIP_Label_023e975b-7b34-49da-9033-9c8f8f7bcde3_Method">
    <vt:lpwstr>Privileged</vt:lpwstr>
  </property>
  <property fmtid="{D5CDD505-2E9C-101B-9397-08002B2CF9AE}" pid="18" name="MSIP_Label_023e975b-7b34-49da-9033-9c8f8f7bcde3_SetDate">
    <vt:lpwstr>2022-06-01T17:14:08Z</vt:lpwstr>
  </property>
  <property fmtid="{D5CDD505-2E9C-101B-9397-08002B2CF9AE}" pid="19" name="MSIP_Label_023e975b-7b34-49da-9033-9c8f8f7bcde3_ContentBits">
    <vt:lpwstr>1</vt:lpwstr>
  </property>
  <property fmtid="{D5CDD505-2E9C-101B-9397-08002B2CF9AE}" pid="20" name="MSIP_Label_023e975b-7b34-49da-9033-9c8f8f7bcde3_Enabled">
    <vt:lpwstr>true</vt:lpwstr>
  </property>
  <property fmtid="{D5CDD505-2E9C-101B-9397-08002B2CF9AE}" pid="21" name="ClassificationContentMarkingHeaderShapeIds">
    <vt:lpwstr>1,2,3</vt:lpwstr>
  </property>
</Properties>
</file>