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 TOYOTA GAZOO Racing, Lucas Moraes se torna o primeiro brasileiro a vencer especial do Dakar nos carros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Ao lado do espanhol Armand Monleón, Moraes é o mais rápido da terceira especial do mais importante rali do mundo e se coloca entre os cinco melhores da classificação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piloto Lucas Moraes colocou seu nome na história do Dakar nesta segunda-feira (8). O representante da TOYOTA GAZOO Racing se tornou o primeiro brasileiro a vencer uma especial do mais importante rali do planeta ao ser o mais veloz na etapa de hoje. Ao lado do navegador espanhol Armand Monleón, Moraes completou os 447 quilômetros da especial realizada entre Al Duwadimi e Al Salamiya, na Arábia Saudita, em 4h14min51s com um Toyota GR DKR Hilux EVO T1U.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representa a primeira vitória de uma dupla da TOYOTA GAZOO Racing na 46ª edição do Dakar. Mais do que isso, Moraes e Monleón são os melhores representantes do time na classificação acumulada após três especiais, aparecendo com o quarto lugar, menos de dez minutos distantes dos líderes, diferença pequena considerando provas fora de estrada.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“O Dakar é extremamente duro com o carro todo, mas os pneus sofrem demais. E poupar pneus e o carro é uma das principais estratégias para chegar bem na corrida. Não é fácil, todo mundo quebra ou tem pneus furados. Mas hoje nós conseguimos fazer uma corrida “limpa” e com boa velocidade o tempo todo. A navegação do Armand foi perfeita e permitiu que não perdêssemos tempo em nada. Vimos outros competidores perderem posição porque tiveram pneus furados, ou erraram. Nós, felizmente, conseguimos juntar todas as peças desse quebra-cabeça, o que nos deu esse resultado”, disse Moraes.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é a segunda participação do brasileiro na mais importante competição off road do planeta. Em 2023, quando também pilotou um Toyota, Lucas Moraes completou o Dakar com a terceira colocação. Neste ano, o piloto é um dos destaques da equipe TOYOTA GAZOO Racing, atual campeã da prova.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Dakar segue nesta terça-feira com uma especial entre Al Salamiya e Al Hofuf, com 425 quilômetros.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60" w:line="360" w:lineRule="auto"/>
        <w:jc w:val="both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12">
      <w:pPr>
        <w:spacing w:after="160" w:line="360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highlight w:val="white"/>
        </w:rPr>
      </w:pPr>
      <w:bookmarkStart w:colFirst="0" w:colLast="0" w:name="_heading=h.r2m4plfj5x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highlight w:val="white"/>
        </w:rPr>
      </w:pPr>
      <w:bookmarkStart w:colFirst="0" w:colLast="0" w:name="_heading=h.5x20h5zdzxb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highlight w:val="whit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6">
      <w:pPr>
        <w:spacing w:line="36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7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color w:val="b0273b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A">
      <w:pPr>
        <w:spacing w:line="360" w:lineRule="auto"/>
        <w:rPr>
          <w:color w:val="0000ff"/>
          <w:highlight w:val="white"/>
          <w:u w:val="single"/>
        </w:rPr>
      </w:pPr>
      <w:r w:rsidDel="00000000" w:rsidR="00000000" w:rsidRPr="00000000">
        <w:rPr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D">
      <w:pPr>
        <w:spacing w:line="3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color w:val="1f497d"/>
          <w:sz w:val="24"/>
          <w:szCs w:val="24"/>
        </w:rPr>
      </w:pPr>
      <w:r w:rsidDel="00000000" w:rsidR="00000000" w:rsidRPr="00000000">
        <w:rPr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15315" cy="615315"/>
              <wp:effectExtent b="0" l="0" r="0" t="0"/>
              <wp:wrapNone/>
              <wp:docPr descr="• PUBLIC 公開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15315" cy="615315"/>
              <wp:effectExtent b="0" l="0" r="0" t="0"/>
              <wp:wrapNone/>
              <wp:docPr descr="• PUBLIC 公開" id="2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31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15315" cy="615315"/>
              <wp:effectExtent b="0" l="0" r="0" t="0"/>
              <wp:wrapNone/>
              <wp:docPr descr="• PUBLIC 公開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15315" cy="615315"/>
              <wp:effectExtent b="0" l="0" r="0" t="0"/>
              <wp:wrapNone/>
              <wp:docPr descr="• PUBLIC 公開" id="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31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-280968</wp:posOffset>
          </wp:positionV>
          <wp:extent cx="1985963" cy="603733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-200005</wp:posOffset>
          </wp:positionV>
          <wp:extent cx="1581150" cy="4381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15315" cy="615315"/>
              <wp:effectExtent b="0" l="0" r="0" t="0"/>
              <wp:wrapNone/>
              <wp:docPr descr="• PUBLIC 公開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15315" cy="615315"/>
              <wp:effectExtent b="0" l="0" r="0" t="0"/>
              <wp:wrapNone/>
              <wp:docPr descr="• PUBLIC 公開" id="3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31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santos@toyota.com.br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htFRPonmcpBNj4aJt2ojQ78xw==">CgMxLjAyDmgucjJtNHBsZmo1eDY5Mg5oLjV4MjBoNXpkenhicjIIaC5namRneHM4AHIhMUZQU3hudWlhUWpVTUNmOU1xZVJwYTJDWWllYnZMMEFD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