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Toyota Corolla e Corolla Cross são os veículos flex mais econômicos no Brasil em 2023, revela Inmetro</w:t>
      </w:r>
    </w:p>
    <w:p w:rsidR="00000000" w:rsidDel="00000000" w:rsidP="00000000" w:rsidRDefault="00000000" w:rsidRPr="00000000" w14:paraId="00000003">
      <w:pPr>
        <w:jc w:val="center"/>
        <w:rPr>
          <w:rFonts w:ascii="Arial" w:cs="Arial" w:eastAsia="Arial" w:hAnsi="Arial"/>
          <w:i w:val="1"/>
          <w:highlight w:val="yellow"/>
        </w:rPr>
      </w:pPr>
      <w:r w:rsidDel="00000000" w:rsidR="00000000" w:rsidRPr="00000000">
        <w:rPr>
          <w:rtl w:val="0"/>
        </w:rPr>
      </w:r>
    </w:p>
    <w:p w:rsidR="00000000" w:rsidDel="00000000" w:rsidP="00000000" w:rsidRDefault="00000000" w:rsidRPr="00000000" w14:paraId="00000004">
      <w:pPr>
        <w:numPr>
          <w:ilvl w:val="0"/>
          <w:numId w:val="1"/>
        </w:numPr>
        <w:spacing w:after="0" w:before="24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Liderança do ranking é atribuída à inovadora tecnologia híbrida flex da Toyota, que combina eficiência energética com a redução de emissões poluentes</w:t>
      </w:r>
    </w:p>
    <w:p w:rsidR="00000000" w:rsidDel="00000000" w:rsidP="00000000" w:rsidRDefault="00000000" w:rsidRPr="00000000" w14:paraId="00000005">
      <w:pPr>
        <w:numPr>
          <w:ilvl w:val="0"/>
          <w:numId w:val="1"/>
        </w:numPr>
        <w:spacing w:after="0" w:before="24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Este resultado reflete o compromisso da Toyota com a inovação sustentável e a valorização de recursos renováveis nacionais.</w:t>
      </w:r>
    </w:p>
    <w:p w:rsidR="00000000" w:rsidDel="00000000" w:rsidP="00000000" w:rsidRDefault="00000000" w:rsidRPr="00000000" w14:paraId="00000006">
      <w:pPr>
        <w:spacing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São Paulo, </w:t>
      </w:r>
      <w:r w:rsidDel="00000000" w:rsidR="00000000" w:rsidRPr="00000000">
        <w:rPr>
          <w:rFonts w:ascii="Arial" w:cs="Arial" w:eastAsia="Arial" w:hAnsi="Arial"/>
          <w:b w:val="1"/>
          <w:sz w:val="24"/>
          <w:szCs w:val="24"/>
          <w:highlight w:val="white"/>
          <w:rtl w:val="0"/>
        </w:rPr>
        <w:t xml:space="preserve">28 </w:t>
      </w:r>
      <w:r w:rsidDel="00000000" w:rsidR="00000000" w:rsidRPr="00000000">
        <w:rPr>
          <w:rFonts w:ascii="Arial" w:cs="Arial" w:eastAsia="Arial" w:hAnsi="Arial"/>
          <w:b w:val="1"/>
          <w:sz w:val="24"/>
          <w:szCs w:val="24"/>
          <w:rtl w:val="0"/>
        </w:rPr>
        <w:t xml:space="preserve">de novembro de 2023 – </w:t>
      </w:r>
      <w:r w:rsidDel="00000000" w:rsidR="00000000" w:rsidRPr="00000000">
        <w:rPr>
          <w:rFonts w:ascii="Arial" w:cs="Arial" w:eastAsia="Arial" w:hAnsi="Arial"/>
          <w:sz w:val="24"/>
          <w:szCs w:val="24"/>
          <w:rtl w:val="0"/>
        </w:rPr>
        <w:t xml:space="preserve">A Toyota atingiu um marco importante no mercado automobilístico brasileiro, com o Corolla e o Corolla Cross sendo reconhecidos como os veículos mais econômicos segundo a lista atualizada do Inmetro para 2023. Os modelos destacaram-se pela eficiência da tecnologia híbrida flex que combina um motor elétrico com o convencional, reduzindo o consumo de combustível e as emissões de poluentes. </w:t>
      </w:r>
    </w:p>
    <w:p w:rsidR="00000000" w:rsidDel="00000000" w:rsidP="00000000" w:rsidRDefault="00000000" w:rsidRPr="00000000" w14:paraId="00000008">
      <w:pPr>
        <w:spacing w:line="360" w:lineRule="auto"/>
        <w:jc w:val="both"/>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O ranking divulgado</w:t>
        </w:r>
      </w:hyperlink>
      <w:r w:rsidDel="00000000" w:rsidR="00000000" w:rsidRPr="00000000">
        <w:rPr>
          <w:rFonts w:ascii="Arial" w:cs="Arial" w:eastAsia="Arial" w:hAnsi="Arial"/>
          <w:sz w:val="24"/>
          <w:szCs w:val="24"/>
          <w:rtl w:val="0"/>
        </w:rPr>
        <w:t xml:space="preserve">, que inclui 975 modelos e versões de carros de passeio e comerciais leves de 35 montadoras diferentes, é parte do PBEV (Programa Brasileiro de Etiquetagem Veicular), que completou 15 anos em 2023 e mede o consumo energético em MJ/km (megajoules por quilômetro) e em km/l, determinando a eficiência de cada modelo. Ou seja, quanto menor for o consumo energético a cada km rodado, mais eficiente o automóvel. Os carros são classificados de "A" (mais eficientes) a "E" (menos eficientes), com base em testes padronizados e controlados. </w:t>
      </w:r>
    </w:p>
    <w:p w:rsidR="00000000" w:rsidDel="00000000" w:rsidP="00000000" w:rsidRDefault="00000000" w:rsidRPr="00000000" w14:paraId="00000009">
      <w:pPr>
        <w:shd w:fill="ffffff" w:val="clear"/>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"Estamos extremamente orgulhosos pela liderança dos modelos Corolla e Corolla Cross no ranking do Inmetro. O resultado é consequência direta do uso da propulsão híbrida flex, que utiliza o auxílio do motor elétrico, poupando combustível e evitando emissões de poluentes, refletindo nosso compromisso contínuo com a inovação e a sustentabilidade. Esta conquista é um testemunho do nosso esforço em promover a descarbonização e oferecer aos nossos clientes veículos eletrificados mais acessíveis, que ofereçam eficiência e praticidade, já que não precisam ser carregados em tomada", disse </w:t>
      </w:r>
      <w:r w:rsidDel="00000000" w:rsidR="00000000" w:rsidRPr="00000000">
        <w:rPr>
          <w:rFonts w:ascii="Arial" w:cs="Arial" w:eastAsia="Arial" w:hAnsi="Arial"/>
          <w:sz w:val="24"/>
          <w:szCs w:val="24"/>
          <w:highlight w:val="white"/>
          <w:rtl w:val="0"/>
        </w:rPr>
        <w:t xml:space="preserve">Roberto Braun, Diretor de Comunicação, Presidente da Fundação Toyota, e porta-voz da área de ESG da Toyota do Brasil. </w:t>
      </w:r>
    </w:p>
    <w:p w:rsidR="00000000" w:rsidDel="00000000" w:rsidP="00000000" w:rsidRDefault="00000000" w:rsidRPr="00000000" w14:paraId="0000000A">
      <w:pPr>
        <w:shd w:fill="ffffff" w:val="clea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tecnologia híbrida flex da Toyota, exclusiva e acessível, se diferencia no mercado por não requerer recarga, adaptando-se com facilidade à rotina dos motoristas. Além disso, destaca-se por sua eficiência em reduzir emissões de carbono, especialmente quando abastecida com etanol, um combustível renovável nacional. Ela atende às crescentes demandas por soluções sustentáveis ao oferecer uma redução significativa nas emissões de poluentes, ultrapassando 30% em comparação com veículos flex fuel convencionais. </w:t>
      </w:r>
    </w:p>
    <w:p w:rsidR="00000000" w:rsidDel="00000000" w:rsidP="00000000" w:rsidRDefault="00000000" w:rsidRPr="00000000" w14:paraId="0000000B">
      <w:pPr>
        <w:spacing w:line="36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A fabricação desses modelos no Brasil tem impacto positivo na economia local, gerando empregos diretos e indiretos (considerando a toda a cadeia produtiva), fomentando o desenvolvimento econômico e social. É essa junção da tecnologia japonesa com a expertise brasileira que coloca a Toyota na vanguarda da inovação automotiva sustentável no país.</w:t>
      </w:r>
    </w:p>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“Impossível também não destacar a importância do etanol de cana-de-açúcar, biocombustível de baixo carbono, no sucesso da tecnologia híbrida flex ao ver esses resultados. Desde o lançamento dos veículos flex em 2003, o uso do etanol no Brasil tem evitado a emissão de milhões de toneladas de CO2, contribuindo significativamente para a sustentabilidade ambiental e a geração de empregos”, reforça Braun. </w:t>
      </w:r>
    </w:p>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Os modelos híbridos flex da Toyota são soluções práticas, acessíveis e competitivas, que valorizam um recurso nacional renovável, contribuindo para a geração de negócios e riqueza no país.</w:t>
      </w:r>
    </w:p>
    <w:p w:rsidR="00000000" w:rsidDel="00000000" w:rsidP="00000000" w:rsidRDefault="00000000" w:rsidRPr="00000000" w14:paraId="0000000E">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Resultados dos testes</w:t>
      </w:r>
    </w:p>
    <w:p w:rsidR="00000000" w:rsidDel="00000000" w:rsidP="00000000" w:rsidRDefault="00000000" w:rsidRPr="00000000" w14:paraId="00000010">
      <w:pPr>
        <w:pStyle w:val="Heading3"/>
        <w:keepNext w:val="0"/>
        <w:keepLines w:val="0"/>
        <w:spacing w:after="60" w:before="0" w:line="360" w:lineRule="auto"/>
        <w:rPr/>
      </w:pPr>
      <w:bookmarkStart w:colFirst="0" w:colLast="0" w:name="_heading=h.wrjh7bugrm9f" w:id="1"/>
      <w:bookmarkEnd w:id="1"/>
      <w:r w:rsidDel="00000000" w:rsidR="00000000" w:rsidRPr="00000000">
        <w:rPr>
          <w:rFonts w:ascii="Arial" w:cs="Arial" w:eastAsia="Arial" w:hAnsi="Arial"/>
          <w:sz w:val="24"/>
          <w:szCs w:val="24"/>
          <w:rtl w:val="0"/>
        </w:rPr>
        <w:t xml:space="preserve">Toyota Corolla</w:t>
      </w:r>
      <w:r w:rsidDel="00000000" w:rsidR="00000000" w:rsidRPr="00000000">
        <w:rPr>
          <w:rtl w:val="0"/>
        </w:rPr>
      </w:r>
    </w:p>
    <w:p w:rsidR="00000000" w:rsidDel="00000000" w:rsidP="00000000" w:rsidRDefault="00000000" w:rsidRPr="00000000" w14:paraId="00000011">
      <w:pPr>
        <w:spacing w:after="0" w:line="49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Motor 1.8 híbrido flex e câmbio CVT</w:t>
      </w:r>
    </w:p>
    <w:p w:rsidR="00000000" w:rsidDel="00000000" w:rsidP="00000000" w:rsidRDefault="00000000" w:rsidRPr="00000000" w14:paraId="0000001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Nota B</w:t>
        <w:br w:type="textWrapping"/>
        <w:t xml:space="preserve">Consumo energético - 1,21 MJ/km</w:t>
      </w:r>
    </w:p>
    <w:p w:rsidR="00000000" w:rsidDel="00000000" w:rsidP="00000000" w:rsidRDefault="00000000" w:rsidRPr="00000000" w14:paraId="0000001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Consumo cidade - 12,8 km/l (etanol)</w:t>
        <w:br w:type="textWrapping"/>
        <w:t xml:space="preserve">Consumo estrada - 11,1 km/l (etanol)</w:t>
      </w:r>
    </w:p>
    <w:p w:rsidR="00000000" w:rsidDel="00000000" w:rsidP="00000000" w:rsidRDefault="00000000" w:rsidRPr="00000000" w14:paraId="0000001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Consumo cidade - 18,5 km/l (gasolina)</w:t>
        <w:br w:type="textWrapping"/>
        <w:t xml:space="preserve">Consumo estrada - 15,7 km/l (gasolina)</w:t>
      </w:r>
    </w:p>
    <w:p w:rsidR="00000000" w:rsidDel="00000000" w:rsidP="00000000" w:rsidRDefault="00000000" w:rsidRPr="00000000" w14:paraId="0000001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pStyle w:val="Heading3"/>
        <w:keepNext w:val="0"/>
        <w:keepLines w:val="0"/>
        <w:spacing w:after="60" w:before="0" w:line="360" w:lineRule="auto"/>
        <w:rPr/>
      </w:pPr>
      <w:bookmarkStart w:colFirst="0" w:colLast="0" w:name="_heading=h.anhurmuwbp9y" w:id="2"/>
      <w:bookmarkEnd w:id="2"/>
      <w:r w:rsidDel="00000000" w:rsidR="00000000" w:rsidRPr="00000000">
        <w:rPr>
          <w:rFonts w:ascii="Arial" w:cs="Arial" w:eastAsia="Arial" w:hAnsi="Arial"/>
          <w:sz w:val="24"/>
          <w:szCs w:val="24"/>
          <w:rtl w:val="0"/>
        </w:rPr>
        <w:t xml:space="preserve">Toyota Corolla Cross</w:t>
      </w:r>
      <w:r w:rsidDel="00000000" w:rsidR="00000000" w:rsidRPr="00000000">
        <w:rPr>
          <w:rtl w:val="0"/>
        </w:rPr>
      </w:r>
    </w:p>
    <w:p w:rsidR="00000000" w:rsidDel="00000000" w:rsidP="00000000" w:rsidRDefault="00000000" w:rsidRPr="00000000" w14:paraId="00000017">
      <w:pPr>
        <w:spacing w:after="0" w:line="40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Motor 1.8 híbrido flex e câmbio CVT</w:t>
      </w:r>
    </w:p>
    <w:p w:rsidR="00000000" w:rsidDel="00000000" w:rsidP="00000000" w:rsidRDefault="00000000" w:rsidRPr="00000000" w14:paraId="0000001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Nota B</w:t>
        <w:br w:type="textWrapping"/>
        <w:t xml:space="preserve">Consumo energético - 1,31 MJ/km</w:t>
      </w:r>
    </w:p>
    <w:p w:rsidR="00000000" w:rsidDel="00000000" w:rsidP="00000000" w:rsidRDefault="00000000" w:rsidRPr="00000000" w14:paraId="0000001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Consumo cidade - 11,8 km/l (etanol)</w:t>
        <w:br w:type="textWrapping"/>
        <w:t xml:space="preserve">Consumo estrada - 9,7 km/l (etanol)</w:t>
      </w:r>
    </w:p>
    <w:p w:rsidR="00000000" w:rsidDel="00000000" w:rsidP="00000000" w:rsidRDefault="00000000" w:rsidRPr="00000000" w14:paraId="0000001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Consumo cidade - 17,8 km/l (gasolina)</w:t>
        <w:br w:type="textWrapping"/>
        <w:t xml:space="preserve">Consumo estrada - 14,7 km/l (gasolina)</w:t>
      </w:r>
    </w:p>
    <w:p w:rsidR="00000000" w:rsidDel="00000000" w:rsidP="00000000" w:rsidRDefault="00000000" w:rsidRPr="00000000" w14:paraId="0000001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hd w:fill="ffffff" w:val="clear"/>
        <w:spacing w:after="220" w:before="220" w:line="360" w:lineRule="auto"/>
        <w:jc w:val="both"/>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Objetivos de Desenvolvimento Sustentável</w:t>
      </w:r>
    </w:p>
    <w:p w:rsidR="00000000" w:rsidDel="00000000" w:rsidP="00000000" w:rsidRDefault="00000000" w:rsidRPr="00000000" w14:paraId="0000001D">
      <w:pPr>
        <w:shd w:fill="ffffff" w:val="clear"/>
        <w:spacing w:after="220" w:before="220" w:line="360" w:lineRule="auto"/>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divulgação deste material colabora diretamente para o seguinte Objetivo de Desenvolvimento Sustentável da ONU:</w:t>
      </w:r>
    </w:p>
    <w:p w:rsidR="00000000" w:rsidDel="00000000" w:rsidP="00000000" w:rsidRDefault="00000000" w:rsidRPr="00000000" w14:paraId="0000001E">
      <w:pPr>
        <w:shd w:fill="ffffff" w:val="clear"/>
        <w:spacing w:after="220" w:before="220" w:line="360" w:lineRule="auto"/>
        <w:jc w:val="both"/>
        <w:rPr>
          <w:rFonts w:ascii="Arial" w:cs="Arial" w:eastAsia="Arial" w:hAnsi="Arial"/>
          <w:color w:val="222222"/>
        </w:rPr>
      </w:pPr>
      <w:r w:rsidDel="00000000" w:rsidR="00000000" w:rsidRPr="00000000">
        <w:rPr>
          <w:rFonts w:ascii="Arial" w:cs="Arial" w:eastAsia="Arial" w:hAnsi="Arial"/>
          <w:color w:val="222222"/>
          <w:sz w:val="24"/>
          <w:szCs w:val="24"/>
        </w:rPr>
        <w:drawing>
          <wp:inline distB="114300" distT="114300" distL="114300" distR="114300">
            <wp:extent cx="1232178" cy="1232178"/>
            <wp:effectExtent b="0" l="0" r="0" t="0"/>
            <wp:docPr id="2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232178" cy="1232178"/>
                    </a:xfrm>
                    <a:prstGeom prst="rect"/>
                    <a:ln/>
                  </pic:spPr>
                </pic:pic>
              </a:graphicData>
            </a:graphic>
          </wp:inline>
        </w:drawing>
      </w:r>
      <w:r w:rsidDel="00000000" w:rsidR="00000000" w:rsidRPr="00000000">
        <w:rPr>
          <w:rFonts w:ascii="Arial" w:cs="Arial" w:eastAsia="Arial" w:hAnsi="Arial"/>
          <w:color w:val="222222"/>
        </w:rPr>
        <w:drawing>
          <wp:inline distB="114300" distT="114300" distL="114300" distR="114300">
            <wp:extent cx="1248728" cy="1248728"/>
            <wp:effectExtent b="0" l="0" r="0" t="0"/>
            <wp:docPr id="27"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1248728" cy="1248728"/>
                    </a:xfrm>
                    <a:prstGeom prst="rect"/>
                    <a:ln/>
                  </pic:spPr>
                </pic:pic>
              </a:graphicData>
            </a:graphic>
          </wp:inline>
        </w:drawing>
      </w:r>
      <w:r w:rsidDel="00000000" w:rsidR="00000000" w:rsidRPr="00000000">
        <w:rPr>
          <w:rFonts w:ascii="Arial" w:cs="Arial" w:eastAsia="Arial" w:hAnsi="Arial"/>
          <w:color w:val="222222"/>
        </w:rPr>
        <w:drawing>
          <wp:inline distB="114300" distT="114300" distL="114300" distR="114300">
            <wp:extent cx="1278690" cy="1270278"/>
            <wp:effectExtent b="0" l="0" r="0" t="0"/>
            <wp:docPr id="2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278690" cy="1270278"/>
                    </a:xfrm>
                    <a:prstGeom prst="rect"/>
                    <a:ln/>
                  </pic:spPr>
                </pic:pic>
              </a:graphicData>
            </a:graphic>
          </wp:inline>
        </w:drawing>
      </w:r>
      <w:r w:rsidDel="00000000" w:rsidR="00000000" w:rsidRPr="00000000">
        <w:rPr>
          <w:rFonts w:ascii="Arial" w:cs="Arial" w:eastAsia="Arial" w:hAnsi="Arial"/>
          <w:color w:val="222222"/>
        </w:rPr>
        <w:drawing>
          <wp:inline distB="114300" distT="114300" distL="114300" distR="114300">
            <wp:extent cx="1282422" cy="1282422"/>
            <wp:effectExtent b="0" l="0" r="0" t="0"/>
            <wp:docPr id="23"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1282422" cy="1282422"/>
                    </a:xfrm>
                    <a:prstGeom prst="rect"/>
                    <a:ln/>
                  </pic:spPr>
                </pic:pic>
              </a:graphicData>
            </a:graphic>
          </wp:inline>
        </w:drawing>
      </w:r>
      <w:r w:rsidDel="00000000" w:rsidR="00000000" w:rsidRPr="00000000">
        <w:rPr>
          <w:rFonts w:ascii="Arial" w:cs="Arial" w:eastAsia="Arial" w:hAnsi="Arial"/>
          <w:color w:val="222222"/>
          <w:rtl w:val="0"/>
        </w:rPr>
        <w:t xml:space="preserve"> </w:t>
      </w:r>
      <w:r w:rsidDel="00000000" w:rsidR="00000000" w:rsidRPr="00000000">
        <w:rPr>
          <w:rFonts w:ascii="Arial" w:cs="Arial" w:eastAsia="Arial" w:hAnsi="Arial"/>
          <w:color w:val="222222"/>
        </w:rPr>
        <w:drawing>
          <wp:inline distB="114300" distT="114300" distL="114300" distR="114300">
            <wp:extent cx="1197985" cy="1197985"/>
            <wp:effectExtent b="0" l="0" r="0" t="0"/>
            <wp:docPr id="2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1197985" cy="119798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0" w:before="240" w:line="360" w:lineRule="auto"/>
        <w:jc w:val="both"/>
        <w:rPr>
          <w:rFonts w:ascii="Arial" w:cs="Arial" w:eastAsia="Arial" w:hAnsi="Arial"/>
          <w:b w:val="1"/>
          <w:i w:val="1"/>
          <w:color w:val="222222"/>
          <w:sz w:val="20"/>
          <w:szCs w:val="20"/>
          <w:highlight w:val="white"/>
        </w:rPr>
      </w:pPr>
      <w:r w:rsidDel="00000000" w:rsidR="00000000" w:rsidRPr="00000000">
        <w:rPr>
          <w:rFonts w:ascii="Arial" w:cs="Arial" w:eastAsia="Arial" w:hAnsi="Arial"/>
          <w:b w:val="1"/>
          <w:i w:val="1"/>
          <w:color w:val="222222"/>
          <w:sz w:val="20"/>
          <w:szCs w:val="20"/>
          <w:highlight w:val="white"/>
          <w:rtl w:val="0"/>
        </w:rPr>
        <w:t xml:space="preserve">Sobre a Toyota do Brasil</w:t>
      </w:r>
    </w:p>
    <w:p w:rsidR="00000000" w:rsidDel="00000000" w:rsidP="00000000" w:rsidRDefault="00000000" w:rsidRPr="00000000" w14:paraId="00000023">
      <w:pPr>
        <w:spacing w:after="0" w:before="240" w:line="360" w:lineRule="auto"/>
        <w:jc w:val="both"/>
        <w:rPr>
          <w:rFonts w:ascii="Arial" w:cs="Arial" w:eastAsia="Arial" w:hAnsi="Arial"/>
          <w:i w:val="1"/>
          <w:color w:val="222222"/>
          <w:sz w:val="18"/>
          <w:szCs w:val="18"/>
          <w:highlight w:val="white"/>
        </w:rPr>
      </w:pPr>
      <w:r w:rsidDel="00000000" w:rsidR="00000000" w:rsidRPr="00000000">
        <w:rPr>
          <w:rFonts w:ascii="Arial" w:cs="Arial" w:eastAsia="Arial" w:hAnsi="Arial"/>
          <w:i w:val="1"/>
          <w:color w:val="222222"/>
          <w:sz w:val="18"/>
          <w:szCs w:val="18"/>
          <w:highlight w:val="white"/>
          <w:rtl w:val="0"/>
        </w:rPr>
        <w:t xml:space="preserve">A Toyota do Brasil está presente no País há 65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13">
        <w:r w:rsidDel="00000000" w:rsidR="00000000" w:rsidRPr="00000000">
          <w:rPr>
            <w:rFonts w:ascii="Arial" w:cs="Arial" w:eastAsia="Arial" w:hAnsi="Arial"/>
            <w:i w:val="1"/>
            <w:color w:val="222222"/>
            <w:sz w:val="18"/>
            <w:szCs w:val="18"/>
            <w:highlight w:val="white"/>
            <w:u w:val="single"/>
            <w:rtl w:val="0"/>
          </w:rPr>
          <w:t xml:space="preserve"> </w:t>
        </w:r>
      </w:hyperlink>
      <w:hyperlink r:id="rId14">
        <w:r w:rsidDel="00000000" w:rsidR="00000000" w:rsidRPr="00000000">
          <w:rPr>
            <w:rFonts w:ascii="Arial" w:cs="Arial" w:eastAsia="Arial" w:hAnsi="Arial"/>
            <w:i w:val="1"/>
            <w:color w:val="1155cc"/>
            <w:sz w:val="18"/>
            <w:szCs w:val="18"/>
            <w:highlight w:val="white"/>
            <w:u w:val="single"/>
            <w:rtl w:val="0"/>
          </w:rPr>
          <w:t xml:space="preserve">Toyota Global</w:t>
        </w:r>
      </w:hyperlink>
      <w:r w:rsidDel="00000000" w:rsidR="00000000" w:rsidRPr="00000000">
        <w:rPr>
          <w:rFonts w:ascii="Arial" w:cs="Arial" w:eastAsia="Arial" w:hAnsi="Arial"/>
          <w:i w:val="1"/>
          <w:color w:val="222222"/>
          <w:sz w:val="18"/>
          <w:szCs w:val="18"/>
          <w:highlight w:val="white"/>
          <w:rtl w:val="0"/>
        </w:rPr>
        <w:t xml:space="preserve"> e</w:t>
      </w:r>
      <w:hyperlink r:id="rId15">
        <w:r w:rsidDel="00000000" w:rsidR="00000000" w:rsidRPr="00000000">
          <w:rPr>
            <w:rFonts w:ascii="Arial" w:cs="Arial" w:eastAsia="Arial" w:hAnsi="Arial"/>
            <w:i w:val="1"/>
            <w:color w:val="222222"/>
            <w:sz w:val="18"/>
            <w:szCs w:val="18"/>
            <w:highlight w:val="white"/>
            <w:u w:val="single"/>
            <w:rtl w:val="0"/>
          </w:rPr>
          <w:t xml:space="preserve"> </w:t>
        </w:r>
      </w:hyperlink>
      <w:hyperlink r:id="rId16">
        <w:r w:rsidDel="00000000" w:rsidR="00000000" w:rsidRPr="00000000">
          <w:rPr>
            <w:rFonts w:ascii="Arial" w:cs="Arial" w:eastAsia="Arial" w:hAnsi="Arial"/>
            <w:i w:val="1"/>
            <w:color w:val="1155cc"/>
            <w:sz w:val="18"/>
            <w:szCs w:val="18"/>
            <w:highlight w:val="white"/>
            <w:u w:val="single"/>
            <w:rtl w:val="0"/>
          </w:rPr>
          <w:t xml:space="preserve">Toyota do Brasil</w:t>
        </w:r>
      </w:hyperlink>
      <w:r w:rsidDel="00000000" w:rsidR="00000000" w:rsidRPr="00000000">
        <w:rPr>
          <w:rFonts w:ascii="Arial" w:cs="Arial" w:eastAsia="Arial" w:hAnsi="Arial"/>
          <w:i w:val="1"/>
          <w:color w:val="222222"/>
          <w:sz w:val="18"/>
          <w:szCs w:val="18"/>
          <w:highlight w:val="white"/>
          <w:rtl w:val="0"/>
        </w:rPr>
        <w:t xml:space="preserve">.</w:t>
      </w:r>
    </w:p>
    <w:p w:rsidR="00000000" w:rsidDel="00000000" w:rsidP="00000000" w:rsidRDefault="00000000" w:rsidRPr="00000000" w14:paraId="00000024">
      <w:pPr>
        <w:spacing w:after="240" w:before="240" w:line="360" w:lineRule="auto"/>
        <w:jc w:val="both"/>
        <w:rPr>
          <w:rFonts w:ascii="Arial" w:cs="Arial" w:eastAsia="Arial" w:hAnsi="Arial"/>
          <w:i w:val="1"/>
          <w:color w:val="222222"/>
          <w:sz w:val="20"/>
          <w:szCs w:val="20"/>
          <w:highlight w:val="white"/>
        </w:rPr>
      </w:pP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27">
      <w:pPr>
        <w:spacing w:after="240" w:before="24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28">
      <w:pPr>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hyperlink r:id="rId17">
        <w:r w:rsidDel="00000000" w:rsidR="00000000" w:rsidRPr="00000000">
          <w:rPr>
            <w:rFonts w:ascii="Arial" w:cs="Arial" w:eastAsia="Arial" w:hAnsi="Arial"/>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29">
      <w:pPr>
        <w:spacing w:after="240" w:before="24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color w:val="0000ff"/>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2A">
      <w:pPr>
        <w:spacing w:after="240" w:before="240" w:line="240" w:lineRule="auto"/>
        <w:jc w:val="both"/>
        <w:rPr>
          <w:rFonts w:ascii="Arial" w:cs="Arial" w:eastAsia="Arial" w:hAnsi="Arial"/>
          <w:highlight w:val="white"/>
          <w:u w:val="single"/>
        </w:rPr>
      </w:pPr>
      <w:r w:rsidDel="00000000" w:rsidR="00000000" w:rsidRPr="00000000">
        <w:rPr>
          <w:rFonts w:ascii="Arial" w:cs="Arial" w:eastAsia="Arial" w:hAnsi="Arial"/>
          <w:highlight w:val="white"/>
          <w:rtl w:val="0"/>
        </w:rPr>
        <w:t xml:space="preserve">Kessia Santos – </w:t>
      </w:r>
      <w:hyperlink r:id="rId18">
        <w:r w:rsidDel="00000000" w:rsidR="00000000" w:rsidRPr="00000000">
          <w:rPr>
            <w:rFonts w:ascii="Arial" w:cs="Arial" w:eastAsia="Arial" w:hAnsi="Arial"/>
            <w:color w:val="0000ff"/>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2B">
      <w:pPr>
        <w:spacing w:after="240" w:before="24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C">
      <w:pPr>
        <w:spacing w:after="240" w:before="24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RPMA Comunicação</w:t>
      </w:r>
    </w:p>
    <w:p w:rsidR="00000000" w:rsidDel="00000000" w:rsidP="00000000" w:rsidRDefault="00000000" w:rsidRPr="00000000" w14:paraId="0000002D">
      <w:pPr>
        <w:spacing w:after="240" w:before="240" w:line="240"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2E">
      <w:pPr>
        <w:spacing w:after="240" w:before="24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2F">
      <w:pPr>
        <w:spacing w:after="240" w:before="24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Araújo – (11) 96084-0473</w:t>
      </w:r>
    </w:p>
    <w:p w:rsidR="00000000" w:rsidDel="00000000" w:rsidP="00000000" w:rsidRDefault="00000000" w:rsidRPr="00000000" w14:paraId="00000030">
      <w:pPr>
        <w:spacing w:after="240" w:before="240" w:line="240" w:lineRule="auto"/>
        <w:jc w:val="both"/>
        <w:rPr>
          <w:rFonts w:ascii="Arial" w:cs="Arial" w:eastAsia="Arial" w:hAnsi="Arial"/>
          <w:sz w:val="24"/>
          <w:szCs w:val="24"/>
          <w:highlight w:val="white"/>
        </w:rPr>
      </w:pPr>
      <w:r w:rsidDel="00000000" w:rsidR="00000000" w:rsidRPr="00000000">
        <w:rPr>
          <w:rFonts w:ascii="Arial" w:cs="Arial" w:eastAsia="Arial" w:hAnsi="Arial"/>
          <w:b w:val="1"/>
          <w:highlight w:val="white"/>
          <w:rtl w:val="0"/>
        </w:rPr>
        <w:t xml:space="preserve">Henrique Carmo - (11) 98058-6298</w:t>
      </w:r>
      <w:r w:rsidDel="00000000" w:rsidR="00000000" w:rsidRPr="00000000">
        <w:rPr>
          <w:rtl w:val="0"/>
        </w:rPr>
      </w:r>
    </w:p>
    <w:sectPr>
      <w:headerReference r:id="rId19" w:type="default"/>
      <w:headerReference r:id="rId20" w:type="first"/>
      <w:headerReference r:id="rId21" w:type="even"/>
      <w:footerReference r:id="rId22" w:type="default"/>
      <w:footerReference r:id="rId23"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-199988</wp:posOffset>
          </wp:positionV>
          <wp:extent cx="757237" cy="555307"/>
          <wp:effectExtent b="0" l="0" r="0" t="0"/>
          <wp:wrapSquare wrapText="bothSides" distB="114300" distT="114300" distL="114300" distR="11430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-70437</wp:posOffset>
          </wp:positionH>
          <wp:positionV relativeFrom="paragraph">
            <wp:posOffset>-116146</wp:posOffset>
          </wp:positionV>
          <wp:extent cx="1468755" cy="467995"/>
          <wp:effectExtent b="0" l="0" r="0" t="0"/>
          <wp:wrapNone/>
          <wp:docPr id="28"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2082800</wp:posOffset>
              </wp:positionH>
              <wp:positionV relativeFrom="paragraph">
                <wp:posOffset>0</wp:posOffset>
              </wp:positionV>
              <wp:extent cx="481965" cy="481965"/>
              <wp:effectExtent b="0" l="0" r="0" t="0"/>
              <wp:wrapSquare wrapText="bothSides" distB="0" distT="0" distL="0" distR="0"/>
              <wp:docPr id="21"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2082800</wp:posOffset>
              </wp:positionH>
              <wp:positionV relativeFrom="paragraph">
                <wp:posOffset>0</wp:posOffset>
              </wp:positionV>
              <wp:extent cx="481965" cy="481965"/>
              <wp:effectExtent b="0" l="0" r="0" t="0"/>
              <wp:wrapSquare wrapText="bothSides" distB="0" distT="0" distL="0" distR="0"/>
              <wp:docPr id="2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481965" cy="48196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2082800</wp:posOffset>
              </wp:positionH>
              <wp:positionV relativeFrom="paragraph">
                <wp:posOffset>0</wp:posOffset>
              </wp:positionV>
              <wp:extent cx="481965" cy="481965"/>
              <wp:effectExtent b="0" l="0" r="0" t="0"/>
              <wp:wrapSquare wrapText="bothSides" distB="0" distT="0" distL="0" distR="0"/>
              <wp:docPr id="20"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2082800</wp:posOffset>
              </wp:positionH>
              <wp:positionV relativeFrom="paragraph">
                <wp:posOffset>0</wp:posOffset>
              </wp:positionV>
              <wp:extent cx="481965" cy="481965"/>
              <wp:effectExtent b="0" l="0" r="0" t="0"/>
              <wp:wrapSquare wrapText="bothSides" distB="0" distT="0" distL="0" distR="0"/>
              <wp:docPr id="20"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481965" cy="48196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fdecomentrio">
    <w:name w:val="annotation reference"/>
    <w:basedOn w:val="Fontepargpadro"/>
    <w:uiPriority w:val="99"/>
    <w:semiHidden w:val="1"/>
    <w:unhideWhenUsed w:val="1"/>
    <w:rsid w:val="000572D1"/>
    <w:rPr>
      <w:sz w:val="16"/>
      <w:szCs w:val="16"/>
    </w:rPr>
  </w:style>
  <w:style w:type="paragraph" w:styleId="Textodecomentrio">
    <w:name w:val="annotation text"/>
    <w:basedOn w:val="Normal"/>
    <w:link w:val="TextodecomentrioChar"/>
    <w:uiPriority w:val="99"/>
    <w:unhideWhenUsed w:val="1"/>
    <w:rsid w:val="000572D1"/>
    <w:pPr>
      <w:spacing w:line="240" w:lineRule="auto"/>
    </w:pPr>
    <w:rPr>
      <w:sz w:val="20"/>
      <w:szCs w:val="20"/>
    </w:rPr>
  </w:style>
  <w:style w:type="character" w:styleId="TextodecomentrioChar" w:customStyle="1">
    <w:name w:val="Texto de comentário Char"/>
    <w:basedOn w:val="Fontepargpadro"/>
    <w:link w:val="Textodecomentrio"/>
    <w:uiPriority w:val="99"/>
    <w:rsid w:val="000572D1"/>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0572D1"/>
    <w:rPr>
      <w:b w:val="1"/>
      <w:bCs w:val="1"/>
    </w:rPr>
  </w:style>
  <w:style w:type="character" w:styleId="AssuntodocomentrioChar" w:customStyle="1">
    <w:name w:val="Assunto do comentário Char"/>
    <w:basedOn w:val="TextodecomentrioChar"/>
    <w:link w:val="Assuntodocomentrio"/>
    <w:uiPriority w:val="99"/>
    <w:semiHidden w:val="1"/>
    <w:rsid w:val="000572D1"/>
    <w:rPr>
      <w:b w:val="1"/>
      <w:bCs w:val="1"/>
      <w:sz w:val="20"/>
      <w:szCs w:val="20"/>
    </w:rPr>
  </w:style>
  <w:style w:type="paragraph" w:styleId="Textodebalo">
    <w:name w:val="Balloon Text"/>
    <w:basedOn w:val="Normal"/>
    <w:link w:val="TextodebaloChar"/>
    <w:uiPriority w:val="99"/>
    <w:semiHidden w:val="1"/>
    <w:unhideWhenUsed w:val="1"/>
    <w:rsid w:val="000572D1"/>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0572D1"/>
    <w:rPr>
      <w:rFonts w:ascii="Segoe UI" w:cs="Segoe UI" w:hAnsi="Segoe UI"/>
      <w:sz w:val="18"/>
      <w:szCs w:val="18"/>
    </w:rPr>
  </w:style>
  <w:style w:type="character" w:styleId="Hyperlink">
    <w:name w:val="Hyperlink"/>
    <w:basedOn w:val="Fontepargpadro"/>
    <w:uiPriority w:val="99"/>
    <w:unhideWhenUsed w:val="1"/>
    <w:rsid w:val="001F2B73"/>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11" Type="http://schemas.openxmlformats.org/officeDocument/2006/relationships/image" Target="media/image5.jpg"/><Relationship Id="rId22" Type="http://schemas.openxmlformats.org/officeDocument/2006/relationships/footer" Target="footer2.xml"/><Relationship Id="rId10" Type="http://schemas.openxmlformats.org/officeDocument/2006/relationships/image" Target="media/image1.jpg"/><Relationship Id="rId21" Type="http://schemas.openxmlformats.org/officeDocument/2006/relationships/header" Target="header2.xml"/><Relationship Id="rId13" Type="http://schemas.openxmlformats.org/officeDocument/2006/relationships/hyperlink" Target="https://www.toyota-global.com/" TargetMode="External"/><Relationship Id="rId12" Type="http://schemas.openxmlformats.org/officeDocument/2006/relationships/image" Target="media/image4.jp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hyperlink" Target="https://www.toyota.com.br/" TargetMode="External"/><Relationship Id="rId14" Type="http://schemas.openxmlformats.org/officeDocument/2006/relationships/hyperlink" Target="https://www.toyota-global.com/" TargetMode="External"/><Relationship Id="rId17" Type="http://schemas.openxmlformats.org/officeDocument/2006/relationships/hyperlink" Target="mailto:lassis@toyota.com.br" TargetMode="External"/><Relationship Id="rId16" Type="http://schemas.openxmlformats.org/officeDocument/2006/relationships/hyperlink" Target="https://www.toyota.com.br/"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mailto:kosantos@toyota.com.br" TargetMode="External"/><Relationship Id="rId7" Type="http://schemas.openxmlformats.org/officeDocument/2006/relationships/hyperlink" Target="https://www.gov.br/inmetro/pt-br/assuntos/avaliacao-da-conformidade/programa-brasileiro-de-etiquetagem/tabelas-de-eficiencia-energetica/veiculos-automotivos-pbe-veicular/pbe-veicular-2023.pdf/view" TargetMode="External"/><Relationship Id="rId8"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9wFD7mKsdatgqWn0nYouG0cyg==">CgMxLjAyCGguZ2pkZ3hzMg5oLndyamg3YnVncm05ZjIOaC5hbmh1cm11d2JwOXk4AHIhMXAtYXdxZ0dkVW1ZQTA4VmNZWXhmWVhaNUFNNVgteTVS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2023-11-28T19:11:00Z</dcterms:created>
  <dc:creator>Henrique do Carmo</dc:creator>
</cp:coreProperties>
</file>