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Hilux Weekend chega a Brasília neste final de semana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Versão SRX Plus, mais recente novidade na linha Hilux, será destaque no evento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Participantes poderão fazer ‘test-drive’ em outras versões da picape em percurso ‘off-road’ exclusivo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240"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Edição de Brasília acontece neste sábado e domingo e reúne atrações para toda a família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São Paulo, 23 de novembro de 2023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do Brasil preparou um evento dedicado aos fãs do mundo automotivo, amantes de aventuras e, sobretudo, à liderança que a Hilux representa no universo 4X4 – o Hilux Weekend, que terá sua próxima edição em Brasília (DF). Em colaboração com concessionárias locais, a marca oferece uma experiência única aos seus clientes em um ambiente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off-road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exclusivo com atrações para toda a família. O evento acontece neste sábado e domingo, das 9 às 17 horas, na Arena BRB Nilson Nelson.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visitantes dessa edição do Hilux Weekend poderão conferir de perto as novidades da versão SRX Plus, que chegou recentemente para completar o já amplo portfólio da picape média líder de vendas em seu segmento no País.  Eles também poderão entender na prática a robustez da Hilux durante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test drive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exclusivo em uma pista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off-road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preparada para explorar ao máximo todos os atributos do modelo, incluindo trilha repleta de obstáculos.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Nova Hilux SRX Plus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esta edição do evento Hilux Weekend, o grande protagonismo será dado à estreia da Hilux SRX Plus, anunciada recentemente no Brasil. Pela primeira vez, o eixo traseiro de uma Hilux vem equipado com uma barra estabilizadora, o que aumenta a rigidez de rolagem em 20%, promovendo melhor sensação de direção em curvas. Essas melhorias geram uma condução mais suave, com mais aderência à estrada e um desempenho de condução excepcional, que coloca o conforto dos passageiros em primeiro lugar. Ao mesmo tempo, essa reconfiguração do chassi permitiu aumentar a distância ao solo em +20 mm e o ângulo de ataque em 1 grau, melhorando ainda mais o seu desempenho em estradas de terra e outros terrenos difíceis.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 para toda a família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Hilux Weekend também oferece entretenimento para toda a família, desde exposição de veículos que marcaram a história da Toyota até atividades ao ar livre, espaço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kids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 mini-Hilux para as crianças, butique com itens exclusivos da marca Toyota, espaço para alimentação com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food trucks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regionais e uma área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pet friendly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realizará essa aventura em outras cidades, como Salvador e Fortaleza, até o próximo ano, com o objetivo de proporcionar uma experiência de alto impacto e causar um engajamento real dos seus clientes e aventureiros.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participar desse momento exclusivo, os interessados podem se cadastrar e obter mais informações sobre o evento e suas próximas datas no site: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https://www.toyota.com.br/mundo-toyota/hilux-weekend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Liderança na região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cenário das picapes médias em Brasília, a Hilux solidificou sua liderança no período de janeiro a outubro, conquistando 43% de market share. Ao longo desses meses, foram comercializadas 1.392 unidades da picape na região, evidenciando a preferência dos consumidores pela robustez e confiabilidade da Hilux.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versão SRX destaca-se como a líder de vendas, dominando o mercado local com uma expressiva fatia de 54%. Em seguida, a versão SRV contribui com 20% do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mix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enquanto a Power Pack conquista 10% do mercado.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Além de ser a escolha número um entre os consumidores, a Hilux desempenha um papel crucial no setor agropecuário, movimentando receitas e fortalecendo a economia local na região do centro-oeste brasileiro.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Maior Valor de Revenda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fidelidade dos clientes Hilux é evidenciada não apenas pelos números de venda, mas também pelo recente reconhecimento que o modelo teve ao receber o Selo de Maior Valor de Revenda, promovido pela agência Autoinfome. Essa conquista reforça que os clientes Hilux contam não só com o DNA Toyota de Qualidade, Durabilidade e Confiabilidade, mas também podem se sentir seguros com a baixíssima depreciação anual do veículo, consolidando sua posição como uma escolha inteligente para quem valoriza qualidade e retorno financeiro a longo prazo.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Informações: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Evento: Hilux Weekend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Data: 25 e 26 de novembro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Horário: das 9h às 17h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Local: Arena BRB Nilson Nelson - SRPN - Brasília, DF, 70297-400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divulgação deste material colabora diretamente para o seguinte Objetivo de Desenvolvimento Sustentável da ONU: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982028" cy="977492"/>
            <wp:effectExtent b="0" l="0" r="0" t="0"/>
            <wp:docPr id="27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9774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b w:val="1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highlight w:val="white"/>
          <w:rtl w:val="0"/>
        </w:rPr>
        <w:t xml:space="preserve">Sobre a Toyota do Brasil 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i w:val="1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highlight w:val="white"/>
          <w:rtl w:val="0"/>
        </w:rPr>
        <w:t xml:space="preserve">A Toyota do Brasil está presente no País há 65 anos. Possui três unidades produtivas, localizadas em Indaiatuba, Sorocaba e  Porto Feliz, todas no Estado de São Paulo, e emprega cerca de 6 mil pessoas. A Toyota é a montadora líder em eletrificação no mundo: desde 1997 já foram comercializados mais de 20 milhões de automóveis mais limpos, sejam modelos híbridos, híbridos flex, híbridos plug-in,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68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(“Happiness for All”)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 Toyota Global e Toyota do Brasil.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 </w:t>
      </w:r>
      <w:hyperlink r:id="rId9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0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-199982</wp:posOffset>
          </wp:positionV>
          <wp:extent cx="757237" cy="555307"/>
          <wp:effectExtent b="0" l="0" r="0" t="0"/>
          <wp:wrapSquare wrapText="bothSides" distB="114300" distT="114300" distL="114300" distR="114300"/>
          <wp:docPr id="27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-70431</wp:posOffset>
          </wp:positionH>
          <wp:positionV relativeFrom="paragraph">
            <wp:posOffset>-116138</wp:posOffset>
          </wp:positionV>
          <wp:extent cx="1468755" cy="467995"/>
          <wp:effectExtent b="0" l="0" r="0" t="0"/>
          <wp:wrapNone/>
          <wp:docPr id="27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8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1993900</wp:posOffset>
              </wp:positionH>
              <wp:positionV relativeFrom="paragraph">
                <wp:posOffset>0</wp:posOffset>
              </wp:positionV>
              <wp:extent cx="805815" cy="805815"/>
              <wp:effectExtent b="0" l="0" r="0" t="0"/>
              <wp:wrapSquare wrapText="bothSides" distB="0" distT="0" distL="0" distR="0"/>
              <wp:docPr descr="• PUBLIC 公開" id="269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815" cy="8058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3" w:customStyle="1">
    <w:name w:val="Table Normal4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0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0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0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a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a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a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table" w:styleId="NormalTable0" w:customStyle="1">
    <w:name w:val="Normal Table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0" w:customStyle="1">
    <w:name w:val="Table Normal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00" w:customStyle="1">
    <w:name w:val="Table Normal8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00" w:customStyle="1">
    <w:name w:val="Table Normal7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00" w:customStyle="1">
    <w:name w:val="Table Normal6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0" w:customStyle="1">
    <w:name w:val="Table Normal5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40" w:customStyle="1">
    <w:name w:val="Table Normal44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0" w:customStyle="1">
    <w:name w:val="Table Normal31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0" w:customStyle="1">
    <w:name w:val="Table Normal21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0" w:customStyle="1">
    <w:name w:val="Table Normal110"/>
    <w:rsid w:val="00656B8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kosantos@toyota.com.br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ssis@toyota.com.br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oyota.com.br/mundo-toyota/hilux-weekend" TargetMode="Externa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tv5VP1mGeZA2Xlno8icawPuBA==">CgMxLjAyCWguMzBqMHpsbDgAciExay1zeG5PeWt3ZklCYlpRZzNTVWdJMU45UUswaVhhVU8=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2023-11-20T17:58:00Z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</Properties>
</file>