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 transição energética do Brasil no centro da escala do Energy Observer em Fortaleza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360" w:lineRule="auto"/>
        <w:ind w:left="720" w:firstLine="0"/>
        <w:jc w:val="both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BrownLLWeb" w:cs="BrownLLWeb" w:eastAsia="BrownLLWeb" w:hAnsi="BrownLLWeb"/>
          <w:i w:val="1"/>
          <w:color w:val="41567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572000" cy="2578100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BrownLLWeb" w:cs="BrownLLWeb" w:eastAsia="BrownLLWeb" w:hAnsi="BrownLLWeb"/>
          <w:i w:val="1"/>
          <w:color w:val="415670"/>
          <w:sz w:val="18"/>
          <w:szCs w:val="18"/>
          <w:rtl w:val="0"/>
        </w:rPr>
        <w:t xml:space="preserve">@Energy Observer Productions - Agathe Roullin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BrownLLWeb" w:cs="BrownLLWeb" w:eastAsia="BrownLLWeb" w:hAnsi="BrownLLWeb"/>
          <w:i w:val="1"/>
          <w:color w:val="41567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Fortaleza,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17 novembro de 2023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primeira embarcação movida a energias renováveis e hidrogênio comemora sua parada em terras brasileiras, em Fortaleza, no dia 16 de novembro, com a presença de autoridades locais e parceiros, marcando a 83ª parada de sua Odisséia ao redor do mundo.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Após 23 dias de navegação desde a Baía de Walvis, na Namíbia, cobrindo 3.385 milhas náuticas, o catamarã atracou em Fortaleza, a capital do Ceará. A região é altamente favorável ao desenvolvimento de energia eólica, sendo o nordeste do país palco dos melhores recursos eólicos, abrigando 80% dos parques eólicos nacionais. O setor de energia do Brasil é um dos mais diversificados e com menor intensidade de carbono no mundo. É um local ideal para estudo, encontro e fonte de inspiração para a equipe do Energy Observer durante essa parada de dez dias.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BROWN-LIGHT" w:cs="BROWN-LIGHT" w:eastAsia="BROWN-LIGHT" w:hAnsi="BROWN-LIGHT"/>
          <w:color w:val="415670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939164</wp:posOffset>
            </wp:positionH>
            <wp:positionV relativeFrom="paragraph">
              <wp:posOffset>255905</wp:posOffset>
            </wp:positionV>
            <wp:extent cx="3632200" cy="2559050"/>
            <wp:effectExtent b="0" l="0" r="0" t="0"/>
            <wp:wrapTopAndBottom distB="114300" distT="11430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559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tabs>
          <w:tab w:val="center" w:leader="none" w:pos="4252"/>
          <w:tab w:val="left" w:leader="none" w:pos="6990"/>
        </w:tabs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BrownLLWeb" w:cs="BrownLLWeb" w:eastAsia="BrownLLWeb" w:hAnsi="BrownLLWeb"/>
          <w:i w:val="1"/>
          <w:color w:val="415670"/>
          <w:sz w:val="18"/>
          <w:szCs w:val="18"/>
          <w:rtl w:val="0"/>
        </w:rPr>
        <w:tab/>
        <w:t xml:space="preserve">@Energy Observer Productions - Mélanie De Groot Van Embden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Victorien Erussard, Presidente, capitão e fundador da Energy Observer: "Como um amante apaixonado do mar, sonho em descarbonizar o setor marítimo. Nossa colaboração com a Qair, assim como parceiros-chave como Air Liquide, Toyota e Accor, todos presentes neste evento, é fundamental para realizar essa visão. Cada um traz uma experiência única e valiosa, contribuindo para um impulso coletivo em direção à sustentabilidade. O hidrogênio é essencial para descarbonizar a indústria e a mobilidade, e nossa presença aqui em Fortaleza é altamente simbólica. Graças ao compromisso e inovação de todos os nossos parceiros, especialmente a Qair na utilização de energia eólica e solar, as condições são ideais para gerar elétrons verdes de baixo custo. Isso possibilita a produção de hidrogênio a um preço competitivo, desafiando a predominância dos combustíveis fósseis. Juntos, estamos dando um passo crucial em nossa busca por um futuro energético sustentável e ecologicamente amigável."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Qair, uma produtora independente de energia renovável e parceira oficial da Energy Observer, está hospedando a embarcação durante esta parada com o apoio do Governo do Estado do Ceará, da Prefeitura de Fortaleza e da empresa baseada no Ceará, CSI. Outros parceiros de longa data da Energy Observer também estão envolvidos, incluindo o grupo Accor, Air Liquide e Toyota, que montará uma exposição com veículos híbridos, elétricos e a hidrogênio.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"Estamos muito orgulhosos de ser um dos parceiros da Energy Observer e de apoiar os outros patrocinadores desta odisseia humana, tecnológica e marítima inovadora. Como uma empresa de energia renovável, a Qair está comprometida em fornecer soluções inovadoras de energia limpa e preservar o ambiente em que operamos. A Energy Observer nos oferece acesso a um laboratório ao vivo para a transição energética, testando tecnologias que estão e serão implantadas em maior escala, especialmente no Brasil, graças à expertise e ao compromisso da equipe local da Qair", disse Louis Blanchard, CEO da Qair.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exposição Qair Experience acontecerá ao lado do ônibus Qair e da embarcação laboratório, com conteúdo imersivo sobre a Odisseia da Energy Observer, a transição energética e o estudo dos ambientes marinhos. Será alimentada por dois geradores eletro-hidrogênio da EODev e hidrogênio de baixo carbono fornecido pela Air Liquide.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Instituições como a Embaixada da França no Brasil, o Consulado da França em Recife e diversas escolas e universidades se reunirão em torno da chegada da embarcação, com cerca de 500 estudantes esperados. Sua Excelência, o Sr. Emmanuel Lenain, Embaixador da França no Brasil, destaca a importância do evento no contexto da amizade franco-brasileira e da ambição compartilhada para o meio ambiente: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"Como um verdadeiro laboratório para a transição ecológica, o Energy Observer demonstra toda a extensão do know-how francês em tecnologias limpas e inovadoras. Assim como o Energy Observer, a Embaixada da França no Brasil contribui para conscientização sobre a proteção ambiental por meio de vários programas, como o FranceEcoLab e LabJovens. Também existe uma cooperação de longa data entre institutos de pesquisa brasileiros e franceses, como Ifremer e IRD, resultando em trocas regulares e trabalhos conjuntos entre pesquisadores. Em um momento em que o Brasil sediará a COP30 em 2025, e a França sediará a próxima Conferência das Nações Unidas sobre os Oceanos, nossos dois países afirmam suas ambições em prol da proteção ambiental. Essa questão é central para a cooperação renovada entre França e Brasil."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Produção audiovisual focada em energia eólica e combustíveis do futuro.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setor de energia do Brasil é um dos mais diversificados e promissores da América do Sul. O Brasil responde por quase 7% da produção mundial de energia renovável e é amplamente reconhecido por sua matriz elétrica limpa, baseada principalmente na hidreletricidade como fonte primária de energia. O país há muito tempo é líder em tecnologias de hidrelétricas e biocombustíveis.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Brasil é o segundo maior produtor de biocombustíveis, depois dos Estados Unidos, e um grande protagonista na indústria de etanol. Está na vanguarda da inovação em biocombustíveis de nova geração, derivados de resíduos agrícolas, sendo essencial para a fabricação de combustíveis de aviação sustentáveis. Para diversificar ainda mais sua matriz energética e aumentar sua participação em energias renováveis, o país está agora focado em energia eólica e solar, que estão ganhando terreno e atraindo investimentos crescentes.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equipe de produção do Energy Observer encontrou-se com especialistas em energia e atores envolvidos no futuro energético do país. Nossa equipe visitou a região de São Paulo, onde cerca de 90% do etanol do Brasil é produzido por uma indústria inovadora e sustentável, incluindo o primeiro local de produção de etanol de segunda geração do mundo, feito a partir de bagaço, o resíduo fibroso da cana-de-açúcar. Em Fortaleza, uma região com potencial excepcional de energia eólica, a equipe de produção planejou focar nos desafios de sustentabilidade do setor. Vídeos originais sobre biocombustíveis, etanol e energia eólica sustentável serão transmitidos nas redes sociais do Energy Observer durante a escala e estarão disponíveis gratuitamente para o público.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jc w:val="center"/>
        <w:rPr>
          <w:rFonts w:ascii="Arial" w:cs="Arial" w:eastAsia="Arial" w:hAnsi="Arial"/>
          <w:color w:val="415670"/>
          <w:highlight w:val="white"/>
        </w:rPr>
      </w:pPr>
      <w:r w:rsidDel="00000000" w:rsidR="00000000" w:rsidRPr="00000000">
        <w:rPr>
          <w:rFonts w:ascii="BrownLLWeb" w:cs="BrownLLWeb" w:eastAsia="BrownLLWeb" w:hAnsi="BrownLLWeb"/>
          <w:i w:val="1"/>
          <w:color w:val="415670"/>
          <w:sz w:val="18"/>
          <w:szCs w:val="18"/>
          <w:rtl w:val="0"/>
        </w:rPr>
        <w:t xml:space="preserve">@Energy Observer Productions - Mélanie De Groot Van Embden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190500</wp:posOffset>
            </wp:positionV>
            <wp:extent cx="4347587" cy="2910174"/>
            <wp:effectExtent b="0" l="0" r="0" t="0"/>
            <wp:wrapTopAndBottom distB="114300" distT="11430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7587" cy="29101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ffffff" w:val="clear"/>
        <w:spacing w:after="0" w:line="276" w:lineRule="auto"/>
        <w:jc w:val="both"/>
        <w:rPr>
          <w:rFonts w:ascii="Arial" w:cs="Arial" w:eastAsia="Arial" w:hAnsi="Arial"/>
          <w:color w:val="41567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line="276" w:lineRule="auto"/>
        <w:jc w:val="center"/>
        <w:rPr>
          <w:rFonts w:ascii="BrownLLWeb" w:cs="BrownLLWeb" w:eastAsia="BrownLLWeb" w:hAnsi="BrownLLWeb"/>
          <w:i w:val="1"/>
          <w:color w:val="41567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415670"/>
          <w:highlight w:val="white"/>
          <w:rtl w:val="0"/>
        </w:rPr>
        <w:t xml:space="preserve"> </w:t>
      </w:r>
      <w:r w:rsidDel="00000000" w:rsidR="00000000" w:rsidRPr="00000000">
        <w:rPr>
          <w:rFonts w:ascii="BrownLLWeb" w:cs="BrownLLWeb" w:eastAsia="BrownLLWeb" w:hAnsi="BrownLLWeb"/>
          <w:i w:val="1"/>
          <w:color w:val="415670"/>
          <w:sz w:val="18"/>
          <w:szCs w:val="18"/>
          <w:rtl w:val="0"/>
        </w:rPr>
        <w:t xml:space="preserve">@Energy Observer Productions - Mélanie De Groot Van Embden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2914650</wp:posOffset>
            </wp:positionH>
            <wp:positionV relativeFrom="paragraph">
              <wp:posOffset>271463</wp:posOffset>
            </wp:positionV>
            <wp:extent cx="3455325" cy="2300288"/>
            <wp:effectExtent b="0" l="0" r="0" t="0"/>
            <wp:wrapTopAndBottom distB="114300" distT="114300"/>
            <wp:docPr id="1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5325" cy="2300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-676273</wp:posOffset>
            </wp:positionH>
            <wp:positionV relativeFrom="paragraph">
              <wp:posOffset>247650</wp:posOffset>
            </wp:positionV>
            <wp:extent cx="3515042" cy="2349077"/>
            <wp:effectExtent b="0" l="0" r="0" t="0"/>
            <wp:wrapTopAndBottom distB="114300" distT="11430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5042" cy="2349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Mobilizando agentes na transição energética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programa da parada envolverá atores-chave nas indústrias de energia, hidrogênio, mobilidade e hospitalidade do futuro, bem como no desenvolvimento sustentável, por meio de visitas e conferências. Além dos principais parceiros do Energy Observer, muitos industriais locais, players de energia e organizações, como a Sustainable Ocean Alliance, estarão envolvidos.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"Cada vez mais, nossos hotéis estão se esforçando para economizar energia e reduzir custos operacionais, e essa parceria abre acesso privilegiado a novas tecnologias. Em sintonia com a mentalidade aberta de nosso Grupo, isso ilustra a força motriz da colaboração e representa um passo significativo para acelerar a transição energética na hotelaria necessária para construir o Hotel do Futuro." Antonietta Varlese, Vice-Presidente Sênior de Comunicação e Sustentabilidade da Accor Americas na divisão Premium, Midscale &amp; Economy.</w: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"É uma honra para a Air Liquide ser o principal parceiro do Energy Observer e apoiar essa aventura científica em direção a um futuro mais sustentável. Estamos muito orgulhosos de trabalhar colaborativamente para o mesmo objetivo: explorar soluções concretas e desenvolver tecnologias para acelerar a transição energética. Quando compartilhamos nosso conhecimento, podemos unir as soluções e descobertas do Energy Observer no desenvolvimento de inovações para os setores e aplicações mais diversos, com o objetivo de construir o futuro que queremos para todos na próxima geração." Lucas Rodriguez Rosas, Diretor de Transição Energética da Air Liquide para a América Latina.</w:t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"O hidrogênio desempenha um papel crucial como combustível em nossos esforços para reduzir as emissões de CO2, com o objetivo de atingir a neutralidade de carbono. Somos pioneiros em tecnologias que otimizam a matriz energética e líderes na eletrificação no país com veículos híbridos-flex. Colaborando com parceiros além das fronteiras da indústria, não apenas buscamos reduzir as emissões de CO2 e implementar testes públicos de hidrogênio, mas também moldar um ambiente mais limpo e um futuro mais eficiente, onde a inovação se alinha à responsabilidade ambiental." Roberto Matarazzo Braun, diretor de Comunicação Brasil, presidente da Fundação Toyota do Brasil e porta-voz da área ESG da empresa.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Informações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Datas: 16 a 24 de novembro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Abertura da vila da exposição: somente por convite</w:t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Endereço de ancoragem e vila: Marina Park Hotel, Fortaleza: Av. Pres. Castelo Branco, 400 - Moura Brasil, Fortaleza - CE, 60312-060, Brasil</w:t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*A embarcação estará visível, mas não poderá ser visitada pelo público.</w:t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Quase metade da demanda primária de energia do Brasil é atendida por energias renováveis, principalmente hidrelétrica, bioenergia, eólica e solar, que compõem cerca de 80% de sua matriz elétrica, tornando seu setor de energia um dos mais diversificados e com menor intensidade de carbono na Terra.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Parceiro Anfitrião:</w:t>
      </w:r>
    </w:p>
    <w:p w:rsidR="00000000" w:rsidDel="00000000" w:rsidP="00000000" w:rsidRDefault="00000000" w:rsidRPr="00000000" w14:paraId="00000030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f0f0f"/>
          <w:sz w:val="24"/>
          <w:szCs w:val="24"/>
        </w:rPr>
        <w:drawing>
          <wp:inline distB="0" distT="0" distL="0" distR="0">
            <wp:extent cx="1628775" cy="600075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 o suporte de: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478768</wp:posOffset>
            </wp:positionV>
            <wp:extent cx="3352190" cy="1343025"/>
            <wp:effectExtent b="0" l="0" r="0" t="0"/>
            <wp:wrapTopAndBottom distB="114300" distT="1143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190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Sobre Energy Observer: 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Arial" w:cs="Arial" w:eastAsia="Arial" w:hAnsi="Arial"/>
          <w:i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Energy Observer é o nome da primeira embarcação movida a hidrogênio, sem emissões, e autossuficiente em energia, sendo um defensor e laboratório para a transição ecológica. O desenvolvimento de soluções de energia confiáveis, sustentáveis, sem emissões e economicamente acessíveis está no cerne de nossa odisseia e de nossa subsidiária industrial, a EODev. Navegamos ao redor do mundo por 7 anos, fazendo paradas em cidades icônicas para encontrar pioneiros que dedicam sua energia ao desenvolvimento de soluções sustentáveis que respeitam o planeta. Como o primeiro embaixador francês para os 17 Objetivos de Desenvolvimento Sustentável estabelecidos pela ONU, nossa missão - reforçada pela nossa fundação Energy Observer Foundation - é conscientizar sobre as questões da transição ecológica e explorar soluções que demonstrem que um futuro energético diferente é possível. Energy Observer recebeu o Alto Patrocínio do Sr. Emmanuel Macron, Presidente da República Francesa. Conta com o apoio oficial do Ministério da Transição Ecológica, da UNESCO, da União Europeia, da Irena e da Ademe. → www.energy-observer.org #EnergyObserver</w:t>
          </w:r>
        </w:sdtContent>
      </w:sdt>
    </w:p>
    <w:p w:rsidR="00000000" w:rsidDel="00000000" w:rsidP="00000000" w:rsidRDefault="00000000" w:rsidRPr="00000000" w14:paraId="00000037">
      <w:pPr>
        <w:spacing w:after="240" w:before="240" w:line="360" w:lineRule="auto"/>
        <w:jc w:val="both"/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038">
      <w:pPr>
        <w:spacing w:after="240" w:before="240" w:line="360" w:lineRule="auto"/>
        <w:jc w:val="both"/>
        <w:rPr>
          <w:rFonts w:ascii="Arial" w:cs="Arial" w:eastAsia="Arial" w:hAnsi="Arial"/>
          <w:b w:val="1"/>
          <w:color w:val="222222"/>
          <w:highlight w:val="white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360" w:lineRule="auto"/>
        <w:jc w:val="both"/>
        <w:rPr>
          <w:rFonts w:ascii="Arial" w:cs="Arial" w:eastAsia="Arial" w:hAnsi="Arial"/>
          <w:i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222222"/>
          <w:sz w:val="20"/>
          <w:szCs w:val="20"/>
          <w:highlight w:val="white"/>
          <w:rtl w:val="0"/>
        </w:rPr>
        <w:t xml:space="preserve">Sobre a Toyota do Brasil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360" w:lineRule="auto"/>
        <w:jc w:val="both"/>
        <w:rPr>
          <w:rFonts w:ascii="Arial" w:cs="Arial" w:eastAsia="Arial" w:hAnsi="Arial"/>
          <w:i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A Toyota do Brasil está presente no País há 65 anos. Possui quatro unidades produtivas, localizadas em Indaiatuba, Sorocaba, Porto Feliz e São Bernardo do Campo, todas no Estado de São Paulo, e emprega cerca de seis mil pessoas. A Toyota é a montadora líder em eletrificação no mundo: desde 1997 já foram comercializados mais de 20 milhões de automóveis mais limpos, sejam modelos híbridos, híbridos flex, híbridos plug-in, 100% a bateria ou movidos a hidrogênio. Com o objetivo de impulsionar a eletrificação da frota de veículos no Brasil, em 2013, a Toyota lançou o primeiro veículo híbrido em nosso país, o Toyota Prius. Em 2019 a companhia foi além, inovando mais uma vez para oferecer o único híbrido flex do mundo – fabricado com exclusividade no mercado brasileiro –, o Corolla Sedã, e, em 2021, o primeiro SUV híbrido flex do mercado, o Corolla Cross, também fabricado no País. Atualmente, já são mais de 55 mil carros eletrificados com a tecnologia híbrido flex em circulação pelo Brasil. Em 2020, lançou a KINTO, sua nova empresa de mobilidade, para oferecer serviços como aluguel de carros e gestão de frotas a uma sociedade em transformação. Também reforçou sua marca GAZOO, por meio de iniciativas que desafiam a excelência de seus veículos. Tem como missão produzir felicidade para todas as pessoas (Happiness for All) e, para tanto, está comprometida em desenvolver carros cada vez melhores e mais seguros, além de avançar nas soluções de mobilidade. Junto com a Fundação Toyota do Brasil, tem iniciativas que repercutem nos 17 Objetivos de Desenvolvimento Sustentável da ONU. Mais informações:</w:t>
      </w:r>
      <w:hyperlink r:id="rId14">
        <w:r w:rsidDel="00000000" w:rsidR="00000000" w:rsidRPr="00000000">
          <w:rPr>
            <w:rFonts w:ascii="Arial" w:cs="Arial" w:eastAsia="Arial" w:hAnsi="Arial"/>
            <w:i w:val="1"/>
            <w:color w:val="222222"/>
            <w:sz w:val="20"/>
            <w:szCs w:val="20"/>
            <w:highlight w:val="white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Arial" w:cs="Arial" w:eastAsia="Arial" w:hAnsi="Arial"/>
            <w:i w:val="1"/>
            <w:color w:val="1155cc"/>
            <w:sz w:val="20"/>
            <w:szCs w:val="20"/>
            <w:highlight w:val="white"/>
            <w:u w:val="single"/>
            <w:rtl w:val="0"/>
          </w:rPr>
          <w:t xml:space="preserve">Toyota Global</w:t>
        </w:r>
      </w:hyperlink>
      <w:r w:rsidDel="00000000" w:rsidR="00000000" w:rsidRPr="00000000">
        <w:rPr>
          <w:rFonts w:ascii="Arial" w:cs="Arial" w:eastAsia="Arial" w:hAnsi="Arial"/>
          <w:i w:val="1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e</w:t>
      </w:r>
      <w:hyperlink r:id="rId16">
        <w:r w:rsidDel="00000000" w:rsidR="00000000" w:rsidRPr="00000000">
          <w:rPr>
            <w:rFonts w:ascii="Arial" w:cs="Arial" w:eastAsia="Arial" w:hAnsi="Arial"/>
            <w:i w:val="1"/>
            <w:color w:val="222222"/>
            <w:sz w:val="20"/>
            <w:szCs w:val="20"/>
            <w:highlight w:val="white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Arial" w:cs="Arial" w:eastAsia="Arial" w:hAnsi="Arial"/>
            <w:i w:val="1"/>
            <w:color w:val="1155cc"/>
            <w:sz w:val="20"/>
            <w:szCs w:val="20"/>
            <w:highlight w:val="white"/>
            <w:u w:val="single"/>
            <w:rtl w:val="0"/>
          </w:rPr>
          <w:t xml:space="preserve">Toyota do Brasil</w:t>
        </w:r>
      </w:hyperlink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3B">
      <w:pPr>
        <w:spacing w:after="240" w:before="240" w:line="360" w:lineRule="auto"/>
        <w:jc w:val="both"/>
        <w:rPr>
          <w:rFonts w:ascii="Arial" w:cs="Arial" w:eastAsia="Arial" w:hAnsi="Arial"/>
          <w:i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="240" w:lineRule="auto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Mais informações</w:t>
      </w:r>
    </w:p>
    <w:p w:rsidR="00000000" w:rsidDel="00000000" w:rsidP="00000000" w:rsidRDefault="00000000" w:rsidRPr="00000000" w14:paraId="0000003D">
      <w:pPr>
        <w:spacing w:after="240" w:before="240" w:line="240" w:lineRule="auto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Toyota do Brasil – Departamento de Comunicação</w:t>
      </w:r>
    </w:p>
    <w:p w:rsidR="00000000" w:rsidDel="00000000" w:rsidP="00000000" w:rsidRDefault="00000000" w:rsidRPr="00000000" w14:paraId="0000003E">
      <w:pPr>
        <w:spacing w:after="240" w:before="240" w:line="24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Lilian Assis –</w:t>
      </w:r>
      <w:r w:rsidDel="00000000" w:rsidR="00000000" w:rsidRPr="00000000">
        <w:rPr>
          <w:rFonts w:ascii="Arial" w:cs="Arial" w:eastAsia="Arial" w:hAnsi="Arial"/>
          <w:color w:val="0000ff"/>
          <w:highlight w:val="white"/>
          <w:rtl w:val="0"/>
        </w:rPr>
        <w:t xml:space="preserve"> </w:t>
      </w:r>
      <w:hyperlink r:id="rId18">
        <w:r w:rsidDel="00000000" w:rsidR="00000000" w:rsidRPr="00000000">
          <w:rPr>
            <w:rFonts w:ascii="Arial" w:cs="Arial" w:eastAsia="Arial" w:hAnsi="Arial"/>
            <w:color w:val="0000ff"/>
            <w:highlight w:val="white"/>
            <w:u w:val="single"/>
            <w:rtl w:val="0"/>
          </w:rPr>
          <w:t xml:space="preserve">lassis@toyota.com.br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="24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Kelly Buarque – </w:t>
      </w:r>
      <w:r w:rsidDel="00000000" w:rsidR="00000000" w:rsidRPr="00000000">
        <w:rPr>
          <w:rFonts w:ascii="Arial" w:cs="Arial" w:eastAsia="Arial" w:hAnsi="Arial"/>
          <w:color w:val="0000ff"/>
          <w:highlight w:val="white"/>
          <w:u w:val="single"/>
          <w:rtl w:val="0"/>
        </w:rPr>
        <w:t xml:space="preserve">kbuarque@toyota.com.br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spacing w:after="240" w:before="240" w:line="240" w:lineRule="auto"/>
        <w:jc w:val="both"/>
        <w:rPr>
          <w:rFonts w:ascii="Arial" w:cs="Arial" w:eastAsia="Arial" w:hAnsi="Arial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Kessia Santos – </w:t>
      </w:r>
      <w:hyperlink r:id="rId19">
        <w:r w:rsidDel="00000000" w:rsidR="00000000" w:rsidRPr="00000000">
          <w:rPr>
            <w:rFonts w:ascii="Arial" w:cs="Arial" w:eastAsia="Arial" w:hAnsi="Arial"/>
            <w:color w:val="0000ff"/>
            <w:highlight w:val="white"/>
            <w:u w:val="single"/>
            <w:rtl w:val="0"/>
          </w:rPr>
          <w:t xml:space="preserve">kosantos@toyota.com.br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="240" w:lineRule="auto"/>
        <w:jc w:val="both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spacing w:after="240" w:before="240" w:line="240" w:lineRule="auto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RPMA Comunicação</w:t>
      </w:r>
    </w:p>
    <w:p w:rsidR="00000000" w:rsidDel="00000000" w:rsidP="00000000" w:rsidRDefault="00000000" w:rsidRPr="00000000" w14:paraId="00000043">
      <w:pPr>
        <w:spacing w:after="240" w:before="240" w:line="240" w:lineRule="auto"/>
        <w:jc w:val="both"/>
        <w:rPr>
          <w:rFonts w:ascii="Arial" w:cs="Arial" w:eastAsia="Arial" w:hAnsi="Arial"/>
          <w:color w:val="0000ff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color w:val="0000ff"/>
          <w:highlight w:val="white"/>
          <w:u w:val="single"/>
          <w:rtl w:val="0"/>
        </w:rPr>
        <w:t xml:space="preserve">toyota@rpmacomunicacao.com.br </w:t>
      </w:r>
    </w:p>
    <w:p w:rsidR="00000000" w:rsidDel="00000000" w:rsidP="00000000" w:rsidRDefault="00000000" w:rsidRPr="00000000" w14:paraId="00000044">
      <w:pPr>
        <w:spacing w:after="240" w:before="240" w:line="240" w:lineRule="auto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Guilherme Magna – (11) 98600-8988</w:t>
      </w:r>
    </w:p>
    <w:p w:rsidR="00000000" w:rsidDel="00000000" w:rsidP="00000000" w:rsidRDefault="00000000" w:rsidRPr="00000000" w14:paraId="00000045">
      <w:pPr>
        <w:spacing w:after="240" w:before="240" w:line="240" w:lineRule="auto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Leonardo Araújo – (11) 96084-0473</w:t>
      </w:r>
    </w:p>
    <w:p w:rsidR="00000000" w:rsidDel="00000000" w:rsidP="00000000" w:rsidRDefault="00000000" w:rsidRPr="00000000" w14:paraId="00000046">
      <w:pPr>
        <w:spacing w:after="240" w:before="240" w:line="240" w:lineRule="auto"/>
        <w:jc w:val="both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Henrique Carmo - (11) 98058-6298</w:t>
      </w: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headerReference r:id="rId22" w:type="even"/>
      <w:footerReference r:id="rId23" w:type="default"/>
      <w:footerReference r:id="rId24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Unicode MS"/>
  <w:font w:name="BrownLLWeb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ROWN-L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4647255</wp:posOffset>
          </wp:positionH>
          <wp:positionV relativeFrom="paragraph">
            <wp:posOffset>-199991</wp:posOffset>
          </wp:positionV>
          <wp:extent cx="757237" cy="555307"/>
          <wp:effectExtent b="0" l="0" r="0" t="0"/>
          <wp:wrapSquare wrapText="bothSides" distB="114300" distT="114300" distL="114300" distR="11430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" cy="5553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-70440</wp:posOffset>
          </wp:positionH>
          <wp:positionV relativeFrom="paragraph">
            <wp:posOffset>-116150</wp:posOffset>
          </wp:positionV>
          <wp:extent cx="1468755" cy="467995"/>
          <wp:effectExtent b="0" l="0" r="0" t="0"/>
          <wp:wrapNone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8755" cy="4679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2120900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Square wrapText="bothSides" distB="0" distT="0" distL="0" distR="0"/>
              <wp:docPr id="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1.00000381469727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UI Gothic" w:cs="MS UI Gothic" w:eastAsia="MS UI Gothic" w:hAnsi="MS UI Gothic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• PUBLIC 公開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2120900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Square wrapText="bothSides" distB="0" distT="0" distL="0" distR="0"/>
              <wp:docPr id="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2120900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Square wrapText="bothSides" distB="0" distT="0" distL="0" distR="0"/>
              <wp:docPr id="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1.00000381469727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UI Gothic" w:cs="MS UI Gothic" w:eastAsia="MS UI Gothic" w:hAnsi="MS UI Gothic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• PUBLIC 公開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2120900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Square wrapText="bothSides" distB="0" distT="0" distL="0" distR="0"/>
              <wp:docPr id="7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0572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0572D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0572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0572D1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0572D1"/>
    <w:rPr>
      <w:b w:val="1"/>
      <w:bCs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572D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572D1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5.jpg"/><Relationship Id="rId22" Type="http://schemas.openxmlformats.org/officeDocument/2006/relationships/header" Target="header2.xml"/><Relationship Id="rId10" Type="http://schemas.openxmlformats.org/officeDocument/2006/relationships/image" Target="media/image9.jpg"/><Relationship Id="rId21" Type="http://schemas.openxmlformats.org/officeDocument/2006/relationships/header" Target="header3.xml"/><Relationship Id="rId13" Type="http://schemas.openxmlformats.org/officeDocument/2006/relationships/image" Target="media/image6.png"/><Relationship Id="rId24" Type="http://schemas.openxmlformats.org/officeDocument/2006/relationships/footer" Target="footer1.xml"/><Relationship Id="rId12" Type="http://schemas.openxmlformats.org/officeDocument/2006/relationships/image" Target="media/image1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https://www.toyota-global.com" TargetMode="External"/><Relationship Id="rId14" Type="http://schemas.openxmlformats.org/officeDocument/2006/relationships/hyperlink" Target="https://www.toyota-global.com" TargetMode="External"/><Relationship Id="rId17" Type="http://schemas.openxmlformats.org/officeDocument/2006/relationships/hyperlink" Target="https://www.toyota.com.br" TargetMode="External"/><Relationship Id="rId16" Type="http://schemas.openxmlformats.org/officeDocument/2006/relationships/hyperlink" Target="https://www.toyota.com.br" TargetMode="External"/><Relationship Id="rId5" Type="http://schemas.openxmlformats.org/officeDocument/2006/relationships/styles" Target="styles.xml"/><Relationship Id="rId19" Type="http://schemas.openxmlformats.org/officeDocument/2006/relationships/hyperlink" Target="mailto:kosantos@toyota.com.br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mailto:lassis@toyota.com.br" TargetMode="External"/><Relationship Id="rId7" Type="http://schemas.openxmlformats.org/officeDocument/2006/relationships/image" Target="media/image7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6kWzbfz64x54P+RzGz9zbCOA5w==">CgMxLjAaJAoBMBIfCh0IB0IZCgVBcmlhbBIQQXJpYWwgVW5pY29kZSBNUzIJaC4zMGowemxsOAByITFSYnE2VFNpNmZ1c1VCNzI1ZkZCNHNEM1lNX0Z0MnNWYQ==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2023-11-13T20:36:00Z</dcterms:created>
  <dc:creator>Henrique do Carmo</dc:creator>
</cp:coreProperties>
</file>