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atinge produção global de 300 milhões de carros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Marco totaliza cerca de 180,5 milhões produzidos no Japão e 119,6 milhões nos demais países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Motor Corporation (TMC) atingiu uma produção global acumulada de 300 milhões de carros, incluindo os números de produção de setembro de 2023.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Esse marco foi alcançado em 88 anos e dois meses depois que os primeiros carros da Toyota tiveram a produção iniciada pela Divisão de Produção Automotiva da Toyoda Automatic Loom Works (mais tarde Toyota Industries Corporation), em agosto de 1935. Incluindo produtos nacionais e internacionais, foram 180,5 milhões de carros produzidos no Japão e 119,6 milhões nos demais países (números de janeiro a setembro deste ano).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“Kiichiro Toyoda disse, ‘fazer carros é algo que todos fazem juntos'. Acredito que este número de 300 milhões é uma prova de todo o trabalho árduo diário dos nossos colegas da Toyota, dos nossos fornecedores e concessionários, e todos os demais stakeholders, bem como todos aqueles que vieram antes de nós. Esta história não começou apenas quando construíram o primeiro carro. Os membros fundadores tentaram e falharam repetidamente, continuamente construindo protótipos, e seus esforços levaram à Toyota de hoje. A Toyota enfrentou perigo repetidas vezes até este ponto. O que nos auxiliou a chegar até aqui são os clientes que amam a marca. Acho que o número de carros conta as histórias dos nossos clientes, e os clientes que escolheram os carros da Toyota para serem seus parceiros através das suas próprias histórias são o que nos permite continuar a fazer carros até hoje. Sou grato do fundo do meu coração. Eu também amo carros, e vamos continuar fazendo carros, um por um e com cuidado, junto com todos os nossos colegas amantes de carros”, comenta Akio Toyoda,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Chairman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Toyota Motor Company.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modelo com maior produção total é o Corolla, com a série histórica acumulada de 53.399 milhões (no fim de setembro).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presidente da Toyota, Koji Sato, fez o seguinte comentário sobre esse marco: “Quero expressar a minha sincera gratidão aos clientes que escolheram os carros da Toyota e àqueles que construíram cada carro com coração e alma, bem como aos fornecedores e concessionários que os entregaram com cuidado, e a todas as outras partes interessadas. Acredito que esse número de 300 milhões de unidades só poderia ter sido alcançado com o esforço incessante dos colegas de toda a empresa, desde o planejamento e design de peças e veículos até a produção, logística, vendas e serviços, juntamente com todos aqueles que trabalham para apoiar cada etapa. Todos os nossos colegas superaram inúmeros desafios”.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“Só nos últimos anos, assistimos a desastres naturais como o Grande Terremoto no leste do Japão e eventos imprevisíveis como incêndios ou a pandemia de Covid-19 e escassez de chips. Toda vez que enfrentamos o perigo de não poder fazer carros, todos trabalharam juntos para restaurar ou adaptar a produção. No futuro, teremos a certeza de nunca esquecer todos aqueles que apoiaram a nossa produção e daremos o nosso melhor para fazer carros cada vez melhores e trazer sorrisos aos rostos dos clientes”, finaliza Sato.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em alta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Neste mês, a Toyota revisou sua previsão de lucro operacional em 50% após registrar um marco em ganhos trimestrais devido a um iene mais fraco, que impulsionou a receita da demanda global por veículos e melhorou as cadeias de suprimentos.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Outro recorde da empresa é refletido na venda de 5,6 milhões de veículos entre abril e setembro, que aproxima a Toyota de alcançar sua meta anual de 11,4 milhões de unidades e manter sua posição como a maior montadora do mundo. Com os números, que também mostram como a demanda por seus powertrains híbridos e a combustão permanece, o lucro operacional da montadora deve chegar a 4,5 trilhões de ienes no ano fiscal até março, superando a estimativa média dos analistas de 1,1 trilhão de ienes. Já as vendas líquidas subiram 24%, para 11,4 trilhões de ienes, e as ações da Toyota tiveram um aumento notável de 50% no ano.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disso, a empresa está intensificando seus esforços em veículos elétricos, investindo US$ 8 bilhões em uma fábrica na Carolina do Norte para a produção de baterias para modelos totalmente elétricos e híbridos plug-in e acelerando o desenvolvimento de baterias de estado sólido para carros elétricos, uma vez que a demanda por powertrains híbridos e a combustão permanece forte. Entretanto, a Toyota reduziu sua meta de vendas de veículos elétricos (VE) para o ano fiscal atual, passando de 202 mil unidades para 123 mil.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highlight w:val="white"/>
        </w:rPr>
        <w:drawing>
          <wp:inline distB="114300" distT="114300" distL="114300" distR="114300">
            <wp:extent cx="1838497" cy="1085015"/>
            <wp:effectExtent b="0" l="0" r="0" t="0"/>
            <wp:docPr id="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497" cy="1085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highlight w:val="white"/>
          <w:rtl w:val="0"/>
        </w:rPr>
        <w:t xml:space="preserve">Sobre a Toyota Motor Company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A Toyota Motor Corporation trabalha para desenvolver e fabricar produtos e serviços inovadores, seguros e de alta qualidade que criam felicidade ao proporcionar mobilidade para todos. Acreditamos que a verdadeira conquista vem do apoio aos nossos clientes, parceiros, funcionários e às comunidades em que operamos. Desde a nossa fundação, há mais de 80 anos, em 1937, aplicamos os nossos Princípios Orientadores na busca de uma sociedade mais segura, mais verde e mais inclusiva. Hoje, à medida que nos transformamos numa empresa de mobilidade que desenvolve tecnologias conectadas, automatizadas, partilhadas e eletrificadas, também nos mantemos fiéis aos nossos Princípios Orientadores e a muitos dos Objetivos de Desenvolvimento Sustentável das Nações Unidas para ajudar a concretizar um mundo cada vez melhor, onde todos são livres.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Inicitativas de SDG: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https://global.toyota/en/sustainability/sdgs/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, 100% a bateria ou movidos a hidrogênio.Com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9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 e</w:t>
      </w:r>
      <w:hyperlink r:id="rId11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 </w:t>
      </w:r>
      <w:hyperlink r:id="rId13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4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2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-199983</wp:posOffset>
          </wp:positionV>
          <wp:extent cx="757237" cy="555307"/>
          <wp:effectExtent b="0" l="0" r="0" t="0"/>
          <wp:wrapSquare wrapText="bothSides" distB="114300" distT="114300" distL="114300" distR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-70432</wp:posOffset>
          </wp:positionH>
          <wp:positionV relativeFrom="paragraph">
            <wp:posOffset>-116139</wp:posOffset>
          </wp:positionV>
          <wp:extent cx="1468755" cy="46799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1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35A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135AA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35A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35AA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35AA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" TargetMode="External"/><Relationship Id="rId10" Type="http://schemas.openxmlformats.org/officeDocument/2006/relationships/hyperlink" Target="https://www.toyota-global.com" TargetMode="External"/><Relationship Id="rId13" Type="http://schemas.openxmlformats.org/officeDocument/2006/relationships/hyperlink" Target="mailto:lassis@toyota.com.br" TargetMode="External"/><Relationship Id="rId12" Type="http://schemas.openxmlformats.org/officeDocument/2006/relationships/hyperlink" Target="https://www.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" TargetMode="External"/><Relationship Id="rId15" Type="http://schemas.openxmlformats.org/officeDocument/2006/relationships/header" Target="header2.xm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3.jpg"/><Relationship Id="rId8" Type="http://schemas.openxmlformats.org/officeDocument/2006/relationships/hyperlink" Target="https://global.toyota/en/sustainability/sdg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ZN0VEO2z+DXpPlizyEV1xxjg+w==">AMUW2mVNOQd1OiHTqm5BKTg+3pO5812dXufxJTDZNieSOyVxXuhWz3wFyPUV+8O9tJFfx5XMjkr3SzBdbUy2iKM7HJ1cWC1Nag+9zuljRpjP2XQCF9+okwNlkbZGiLK0b0Fr2eUIX005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2023-11-07T14:30:00Z</dcterms:created>
</cp:coreProperties>
</file>