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0" w:line="360" w:lineRule="auto"/>
        <w:jc w:val="center"/>
        <w:rPr>
          <w:rFonts w:ascii="Arial" w:cs="Arial" w:eastAsia="Arial" w:hAnsi="Arial"/>
          <w:b w:val="1"/>
          <w:sz w:val="28"/>
          <w:szCs w:val="28"/>
          <w:highlight w:val="white"/>
        </w:rPr>
      </w:pPr>
      <w:r w:rsidDel="00000000" w:rsidR="00000000" w:rsidRPr="00000000">
        <w:rPr>
          <w:rFonts w:ascii="Arial" w:cs="Arial" w:eastAsia="Arial" w:hAnsi="Arial"/>
          <w:b w:val="1"/>
          <w:sz w:val="28"/>
          <w:szCs w:val="28"/>
          <w:rtl w:val="0"/>
        </w:rPr>
        <w:t xml:space="preserve">Toyota do Brasil abre programa de estágio para 2024</w:t>
      </w:r>
      <w:r w:rsidDel="00000000" w:rsidR="00000000" w:rsidRPr="00000000">
        <w:rPr>
          <w:rtl w:val="0"/>
        </w:rPr>
      </w:r>
    </w:p>
    <w:p w:rsidR="00000000" w:rsidDel="00000000" w:rsidP="00000000" w:rsidRDefault="00000000" w:rsidRPr="00000000" w14:paraId="00000003">
      <w:pPr>
        <w:spacing w:after="0" w:line="360" w:lineRule="auto"/>
        <w:jc w:val="center"/>
        <w:rPr>
          <w:rFonts w:ascii="Arial" w:cs="Arial" w:eastAsia="Arial" w:hAnsi="Arial"/>
          <w:b w:val="1"/>
          <w:sz w:val="28"/>
          <w:szCs w:val="28"/>
          <w:highlight w:val="white"/>
        </w:rPr>
      </w:pPr>
      <w:r w:rsidDel="00000000" w:rsidR="00000000" w:rsidRPr="00000000">
        <w:rPr>
          <w:rtl w:val="0"/>
        </w:rPr>
      </w:r>
    </w:p>
    <w:p w:rsidR="00000000" w:rsidDel="00000000" w:rsidP="00000000" w:rsidRDefault="00000000" w:rsidRPr="00000000" w14:paraId="00000004">
      <w:pPr>
        <w:numPr>
          <w:ilvl w:val="0"/>
          <w:numId w:val="1"/>
        </w:numPr>
        <w:spacing w:after="0" w:line="360" w:lineRule="auto"/>
        <w:ind w:left="720" w:hanging="36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São 34 vagas divididas pelas plantas de Indaiatuba, Porto Feliz e Sorocaba</w:t>
      </w:r>
      <w:r w:rsidDel="00000000" w:rsidR="00000000" w:rsidRPr="00000000">
        <w:rPr>
          <w:rtl w:val="0"/>
        </w:rPr>
      </w:r>
    </w:p>
    <w:p w:rsidR="00000000" w:rsidDel="00000000" w:rsidP="00000000" w:rsidRDefault="00000000" w:rsidRPr="00000000" w14:paraId="00000005">
      <w:pPr>
        <w:numPr>
          <w:ilvl w:val="0"/>
          <w:numId w:val="2"/>
        </w:numPr>
        <w:spacing w:after="0" w:line="360" w:lineRule="auto"/>
        <w:ind w:left="720" w:hanging="360"/>
        <w:jc w:val="both"/>
        <w:rPr>
          <w:rFonts w:ascii="Arial" w:cs="Arial" w:eastAsia="Arial" w:hAnsi="Arial"/>
        </w:rPr>
      </w:pPr>
      <w:r w:rsidDel="00000000" w:rsidR="00000000" w:rsidRPr="00000000">
        <w:rPr>
          <w:rFonts w:ascii="Arial" w:cs="Arial" w:eastAsia="Arial" w:hAnsi="Arial"/>
          <w:i w:val="1"/>
          <w:sz w:val="20"/>
          <w:szCs w:val="20"/>
          <w:rtl w:val="0"/>
        </w:rPr>
        <w:t xml:space="preserve">Estudantes dos cursos de diversas áreas de conhecimento podem se inscrever até</w:t>
      </w:r>
      <w:r w:rsidDel="00000000" w:rsidR="00000000" w:rsidRPr="00000000">
        <w:rPr>
          <w:rFonts w:ascii="Arial" w:cs="Arial" w:eastAsia="Arial" w:hAnsi="Arial"/>
          <w:i w:val="1"/>
          <w:sz w:val="20"/>
          <w:szCs w:val="20"/>
          <w:rtl w:val="0"/>
        </w:rPr>
        <w:t xml:space="preserve"> 30 de setembro</w:t>
      </w:r>
      <w:r w:rsidDel="00000000" w:rsidR="00000000" w:rsidRPr="00000000">
        <w:rPr>
          <w:rtl w:val="0"/>
        </w:rPr>
      </w:r>
    </w:p>
    <w:p w:rsidR="00000000" w:rsidDel="00000000" w:rsidP="00000000" w:rsidRDefault="00000000" w:rsidRPr="00000000" w14:paraId="00000006">
      <w:pPr>
        <w:spacing w:after="0" w:line="360" w:lineRule="auto"/>
        <w:jc w:val="both"/>
        <w:rPr>
          <w:rFonts w:ascii="Arial" w:cs="Arial" w:eastAsia="Arial" w:hAnsi="Arial"/>
          <w:b w:val="1"/>
          <w:sz w:val="28"/>
          <w:szCs w:val="28"/>
          <w:highlight w:val="white"/>
        </w:rPr>
      </w:pPr>
      <w:r w:rsidDel="00000000" w:rsidR="00000000" w:rsidRPr="00000000">
        <w:rPr>
          <w:rtl w:val="0"/>
        </w:rPr>
      </w:r>
    </w:p>
    <w:p w:rsidR="00000000" w:rsidDel="00000000" w:rsidP="00000000" w:rsidRDefault="00000000" w:rsidRPr="00000000" w14:paraId="00000007">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Toyota do Brasil está com vagas abertas para o programa de estágio 2024. Ao todo são 34 vagas para as plantas de Indaiatuba, Porto Feliz e Sorocaba. Os estudantes interessados podem se inscrever na página da Toyota na Gupy ou pelo </w:t>
      </w:r>
      <w:r w:rsidDel="00000000" w:rsidR="00000000" w:rsidRPr="00000000">
        <w:rPr>
          <w:rFonts w:ascii="Arial" w:cs="Arial" w:eastAsia="Arial" w:hAnsi="Arial"/>
          <w:i w:val="1"/>
          <w:sz w:val="20"/>
          <w:szCs w:val="20"/>
          <w:rtl w:val="0"/>
        </w:rPr>
        <w:t xml:space="preserve">link</w:t>
      </w:r>
      <w:r w:rsidDel="00000000" w:rsidR="00000000" w:rsidRPr="00000000">
        <w:rPr>
          <w:rFonts w:ascii="Arial" w:cs="Arial" w:eastAsia="Arial" w:hAnsi="Arial"/>
          <w:sz w:val="20"/>
          <w:szCs w:val="20"/>
          <w:rtl w:val="0"/>
        </w:rPr>
        <w:t xml:space="preserve"> </w:t>
      </w:r>
      <w:hyperlink r:id="rId7">
        <w:r w:rsidDel="00000000" w:rsidR="00000000" w:rsidRPr="00000000">
          <w:rPr>
            <w:rFonts w:ascii="Arial" w:cs="Arial" w:eastAsia="Arial" w:hAnsi="Arial"/>
            <w:sz w:val="20"/>
            <w:szCs w:val="20"/>
            <w:u w:val="single"/>
            <w:rtl w:val="0"/>
          </w:rPr>
          <w:t xml:space="preserve">https://toyotabrasil.gupy.io/jobs/5339560?jobBoardSource=gupy_public_page</w:t>
        </w:r>
      </w:hyperlink>
      <w:r w:rsidDel="00000000" w:rsidR="00000000" w:rsidRPr="00000000">
        <w:rPr>
          <w:rFonts w:ascii="Arial" w:cs="Arial" w:eastAsia="Arial" w:hAnsi="Arial"/>
          <w:strike w:val="1"/>
          <w:sz w:val="20"/>
          <w:szCs w:val="20"/>
          <w:rtl w:val="0"/>
        </w:rPr>
        <w:t xml:space="preserve">,</w:t>
      </w:r>
      <w:r w:rsidDel="00000000" w:rsidR="00000000" w:rsidRPr="00000000">
        <w:rPr>
          <w:rFonts w:ascii="Arial" w:cs="Arial" w:eastAsia="Arial" w:hAnsi="Arial"/>
          <w:sz w:val="20"/>
          <w:szCs w:val="20"/>
          <w:rtl w:val="0"/>
        </w:rPr>
        <w:t xml:space="preserve"> até o dia 30 de setembro. </w:t>
      </w:r>
    </w:p>
    <w:p w:rsidR="00000000" w:rsidDel="00000000" w:rsidP="00000000" w:rsidRDefault="00000000" w:rsidRPr="00000000" w14:paraId="00000008">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Os candidatos devem ter graduação prevista até dezembro de 2025, além de inglês intermediário e domínio do pacote Office. As vagas estão abertas para estudantes dos cursos de administração, análise e desenvolvimento de sistemas, ciências contábeis, ciência da computação, ciência de dados, ciências econômicas, engenharia ambiental, engenharia automotiva, engenharia da computação, engenharia de controle e automação, engenharia de materiais, engenharia de produção, engenharia de sistemas, engenharia de software, engenharia elétrica, engenharia eletrônica, engenharia mecânica, engenharia mecatrônica, engenharia metalúrgica, engenharia química, jornalismo, logística, marketing, psicologia, recursos humanos, relações públicas, tecnologia da </w:t>
      </w:r>
      <w:r w:rsidDel="00000000" w:rsidR="00000000" w:rsidRPr="00000000">
        <w:rPr>
          <w:rFonts w:ascii="Arial" w:cs="Arial" w:eastAsia="Arial" w:hAnsi="Arial"/>
          <w:strike w:val="1"/>
          <w:sz w:val="20"/>
          <w:szCs w:val="20"/>
          <w:rtl w:val="0"/>
        </w:rPr>
        <w:t xml:space="preserve">I</w:t>
      </w:r>
      <w:r w:rsidDel="00000000" w:rsidR="00000000" w:rsidRPr="00000000">
        <w:rPr>
          <w:rFonts w:ascii="Arial" w:cs="Arial" w:eastAsia="Arial" w:hAnsi="Arial"/>
          <w:sz w:val="20"/>
          <w:szCs w:val="20"/>
          <w:rtl w:val="0"/>
        </w:rPr>
        <w:t xml:space="preserve">informação, tecnologia em comércio exterior, tecnologia em gestão da produção </w:t>
      </w:r>
      <w:r w:rsidDel="00000000" w:rsidR="00000000" w:rsidRPr="00000000">
        <w:rPr>
          <w:rFonts w:ascii="Arial" w:cs="Arial" w:eastAsia="Arial" w:hAnsi="Arial"/>
          <w:strike w:val="1"/>
          <w:sz w:val="20"/>
          <w:szCs w:val="20"/>
          <w:rtl w:val="0"/>
        </w:rPr>
        <w:t xml:space="preserve">I</w:t>
      </w:r>
      <w:r w:rsidDel="00000000" w:rsidR="00000000" w:rsidRPr="00000000">
        <w:rPr>
          <w:rFonts w:ascii="Arial" w:cs="Arial" w:eastAsia="Arial" w:hAnsi="Arial"/>
          <w:sz w:val="20"/>
          <w:szCs w:val="20"/>
          <w:rtl w:val="0"/>
        </w:rPr>
        <w:t xml:space="preserve">industrial, tecnologia em processos químicos, tecnologia em química, tecnólogo eletrônica automotiva, tecnólogo em automação industrial, tecnólogo em gestão de negócios, tecnólogo fabricação mecânica, tecnólogo gestão da qualidade, tecnólogo manufatura avançada, tecnólogo projetos </w:t>
      </w:r>
      <w:r w:rsidDel="00000000" w:rsidR="00000000" w:rsidRPr="00000000">
        <w:rPr>
          <w:rFonts w:ascii="Arial" w:cs="Arial" w:eastAsia="Arial" w:hAnsi="Arial"/>
          <w:sz w:val="20"/>
          <w:szCs w:val="20"/>
          <w:rtl w:val="0"/>
        </w:rPr>
        <w:t xml:space="preserve">mecânicos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A">
      <w:pPr>
        <w:spacing w:after="240" w:before="240" w:line="36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0B">
      <w:pPr>
        <w:spacing w:after="240" w:before="240" w:line="360" w:lineRule="auto"/>
        <w:jc w:val="both"/>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_____________________________________________________________</w:t>
      </w:r>
    </w:p>
    <w:p w:rsidR="00000000" w:rsidDel="00000000" w:rsidP="00000000" w:rsidRDefault="00000000" w:rsidRPr="00000000" w14:paraId="0000000C">
      <w:pPr>
        <w:spacing w:after="0" w:line="360"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Sobre a Toyota do Brasil</w:t>
      </w: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A Toyota do Brasil está presente no País há 65 anos. Possui quatro unidades produtivas, localizadas em Indaiatuba, Sorocaba, Porto Feliz e São Bernardo do Campo, todas no Estado de São Paulo, e emprega cerca de 6 mil pessoas. A Toyota é a montadora líder em eletrificação no mundo: desde 1997 já foram comercializados mais de 20 milhões de automóveis mais limpos, sejam modelos híbridos, híbridos flex, híbridos </w:t>
      </w:r>
      <w:r w:rsidDel="00000000" w:rsidR="00000000" w:rsidRPr="00000000">
        <w:rPr>
          <w:rFonts w:ascii="Arial" w:cs="Arial" w:eastAsia="Arial" w:hAnsi="Arial"/>
          <w:sz w:val="20"/>
          <w:szCs w:val="20"/>
          <w:highlight w:val="white"/>
          <w:rtl w:val="0"/>
        </w:rPr>
        <w:t xml:space="preserve">plug-in</w:t>
      </w:r>
      <w:r w:rsidDel="00000000" w:rsidR="00000000" w:rsidRPr="00000000">
        <w:rPr>
          <w:rFonts w:ascii="Arial" w:cs="Arial" w:eastAsia="Arial" w:hAnsi="Arial"/>
          <w:i w:val="1"/>
          <w:sz w:val="20"/>
          <w:szCs w:val="20"/>
          <w:highlight w:val="white"/>
          <w:rtl w:val="0"/>
        </w:rPr>
        <w:t xml:space="preserve">, 100% a bateria ou movidos a hidrogênio.</w:t>
      </w:r>
    </w:p>
    <w:p w:rsidR="00000000" w:rsidDel="00000000" w:rsidP="00000000" w:rsidRDefault="00000000" w:rsidRPr="00000000" w14:paraId="0000000E">
      <w:pPr>
        <w:spacing w:after="0" w:line="240" w:lineRule="auto"/>
        <w:jc w:val="both"/>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55 mil carros eletrificados com a tecnologia híbrido flex em circulação pelo Brasil.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w:t>
      </w:r>
      <w:r w:rsidDel="00000000" w:rsidR="00000000" w:rsidRPr="00000000">
        <w:rPr>
          <w:rFonts w:ascii="Arial" w:cs="Arial" w:eastAsia="Arial" w:hAnsi="Arial"/>
          <w:sz w:val="20"/>
          <w:szCs w:val="20"/>
          <w:highlight w:val="white"/>
          <w:rtl w:val="0"/>
        </w:rPr>
        <w:t xml:space="preserve">Happiness for All</w:t>
      </w:r>
      <w:r w:rsidDel="00000000" w:rsidR="00000000" w:rsidRPr="00000000">
        <w:rPr>
          <w:rFonts w:ascii="Arial" w:cs="Arial" w:eastAsia="Arial" w:hAnsi="Arial"/>
          <w:i w:val="1"/>
          <w:sz w:val="20"/>
          <w:szCs w:val="20"/>
          <w:highlight w:val="white"/>
          <w:rtl w:val="0"/>
        </w:rPr>
        <w:t xml:space="preserve">) e, para tanto, está comprometida em desenvolver carros cada vez melhores e mais seguros, além de avançar nas soluções de mobilidade. Junto com a Fundação Toyota do Brasil, tem iniciativas que repercutem nos 17 Objetivos de Desenvolvimento Sustentável da ONU. Mais informações:</w:t>
      </w:r>
      <w:hyperlink r:id="rId8">
        <w:r w:rsidDel="00000000" w:rsidR="00000000" w:rsidRPr="00000000">
          <w:rPr>
            <w:rFonts w:ascii="Arial" w:cs="Arial" w:eastAsia="Arial" w:hAnsi="Arial"/>
            <w:i w:val="1"/>
            <w:sz w:val="20"/>
            <w:szCs w:val="20"/>
            <w:highlight w:val="white"/>
            <w:rtl w:val="0"/>
          </w:rPr>
          <w:t xml:space="preserve"> </w:t>
        </w:r>
      </w:hyperlink>
      <w:hyperlink r:id="rId9">
        <w:r w:rsidDel="00000000" w:rsidR="00000000" w:rsidRPr="00000000">
          <w:rPr>
            <w:rFonts w:ascii="Arial" w:cs="Arial" w:eastAsia="Arial" w:hAnsi="Arial"/>
            <w:i w:val="1"/>
            <w:sz w:val="20"/>
            <w:szCs w:val="20"/>
            <w:highlight w:val="white"/>
            <w:u w:val="single"/>
            <w:rtl w:val="0"/>
          </w:rPr>
          <w:t xml:space="preserve">Toyota Global</w:t>
        </w:r>
      </w:hyperlink>
      <w:r w:rsidDel="00000000" w:rsidR="00000000" w:rsidRPr="00000000">
        <w:rPr>
          <w:rFonts w:ascii="Arial" w:cs="Arial" w:eastAsia="Arial" w:hAnsi="Arial"/>
          <w:i w:val="1"/>
          <w:sz w:val="20"/>
          <w:szCs w:val="20"/>
          <w:highlight w:val="white"/>
          <w:rtl w:val="0"/>
        </w:rPr>
        <w:t xml:space="preserve"> e</w:t>
      </w:r>
      <w:hyperlink r:id="rId10">
        <w:r w:rsidDel="00000000" w:rsidR="00000000" w:rsidRPr="00000000">
          <w:rPr>
            <w:rFonts w:ascii="Arial" w:cs="Arial" w:eastAsia="Arial" w:hAnsi="Arial"/>
            <w:i w:val="1"/>
            <w:sz w:val="20"/>
            <w:szCs w:val="20"/>
            <w:highlight w:val="white"/>
            <w:rtl w:val="0"/>
          </w:rPr>
          <w:t xml:space="preserve"> </w:t>
        </w:r>
      </w:hyperlink>
      <w:hyperlink r:id="rId11">
        <w:r w:rsidDel="00000000" w:rsidR="00000000" w:rsidRPr="00000000">
          <w:rPr>
            <w:rFonts w:ascii="Arial" w:cs="Arial" w:eastAsia="Arial" w:hAnsi="Arial"/>
            <w:i w:val="1"/>
            <w:sz w:val="20"/>
            <w:szCs w:val="20"/>
            <w:highlight w:val="white"/>
            <w:u w:val="single"/>
            <w:rtl w:val="0"/>
          </w:rPr>
          <w:t xml:space="preserve">Toyota do Brasil</w:t>
        </w:r>
      </w:hyperlink>
      <w:r w:rsidDel="00000000" w:rsidR="00000000" w:rsidRPr="00000000">
        <w:rPr>
          <w:rFonts w:ascii="Arial" w:cs="Arial" w:eastAsia="Arial" w:hAnsi="Arial"/>
          <w:i w:val="1"/>
          <w:sz w:val="20"/>
          <w:szCs w:val="20"/>
          <w:highlight w:val="white"/>
          <w:rtl w:val="0"/>
        </w:rPr>
        <w:t xml:space="preserve">.</w:t>
      </w:r>
    </w:p>
    <w:p w:rsidR="00000000" w:rsidDel="00000000" w:rsidP="00000000" w:rsidRDefault="00000000" w:rsidRPr="00000000" w14:paraId="0000000F">
      <w:pPr>
        <w:spacing w:after="240" w:before="240"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Mais informações</w:t>
      </w:r>
    </w:p>
    <w:p w:rsidR="00000000" w:rsidDel="00000000" w:rsidP="00000000" w:rsidRDefault="00000000" w:rsidRPr="00000000" w14:paraId="00000010">
      <w:pPr>
        <w:spacing w:after="240" w:before="240"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Toyota do Brasil – Departamento de Comunicação</w:t>
      </w:r>
    </w:p>
    <w:p w:rsidR="00000000" w:rsidDel="00000000" w:rsidP="00000000" w:rsidRDefault="00000000" w:rsidRPr="00000000" w14:paraId="00000011">
      <w:pPr>
        <w:spacing w:after="240" w:before="24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Lilian Assis –</w:t>
      </w:r>
      <w:r w:rsidDel="00000000" w:rsidR="00000000" w:rsidRPr="00000000">
        <w:rPr>
          <w:rFonts w:ascii="Arial" w:cs="Arial" w:eastAsia="Arial" w:hAnsi="Arial"/>
          <w:color w:val="0000ff"/>
          <w:highlight w:val="white"/>
          <w:rtl w:val="0"/>
        </w:rPr>
        <w:t xml:space="preserve"> </w:t>
      </w:r>
      <w:hyperlink r:id="rId12">
        <w:r w:rsidDel="00000000" w:rsidR="00000000" w:rsidRPr="00000000">
          <w:rPr>
            <w:rFonts w:ascii="Arial" w:cs="Arial" w:eastAsia="Arial" w:hAnsi="Arial"/>
            <w:color w:val="0000ff"/>
            <w:highlight w:val="white"/>
            <w:u w:val="single"/>
            <w:rtl w:val="0"/>
          </w:rPr>
          <w:t xml:space="preserve">lassis@toyota.com.br</w:t>
        </w:r>
      </w:hyperlink>
      <w:r w:rsidDel="00000000" w:rsidR="00000000" w:rsidRPr="00000000">
        <w:rPr>
          <w:rtl w:val="0"/>
        </w:rPr>
      </w:r>
    </w:p>
    <w:p w:rsidR="00000000" w:rsidDel="00000000" w:rsidP="00000000" w:rsidRDefault="00000000" w:rsidRPr="00000000" w14:paraId="00000012">
      <w:pPr>
        <w:spacing w:after="240" w:before="24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Kelly Buarque – </w:t>
      </w:r>
      <w:hyperlink r:id="rId13">
        <w:r w:rsidDel="00000000" w:rsidR="00000000" w:rsidRPr="00000000">
          <w:rPr>
            <w:rFonts w:ascii="Arial" w:cs="Arial" w:eastAsia="Arial" w:hAnsi="Arial"/>
            <w:color w:val="1155cc"/>
            <w:highlight w:val="white"/>
            <w:u w:val="single"/>
            <w:rtl w:val="0"/>
          </w:rPr>
          <w:t xml:space="preserve">kbuarque@toyota.com.br</w:t>
        </w:r>
      </w:hyperlink>
      <w:r w:rsidDel="00000000" w:rsidR="00000000" w:rsidRPr="00000000">
        <w:rPr>
          <w:rFonts w:ascii="Arial" w:cs="Arial" w:eastAsia="Arial" w:hAnsi="Arial"/>
          <w:highlight w:val="white"/>
          <w:u w:val="single"/>
          <w:rtl w:val="0"/>
        </w:rPr>
        <w:t xml:space="preserve"> </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13">
      <w:pPr>
        <w:spacing w:after="240" w:before="240" w:line="276" w:lineRule="auto"/>
        <w:rPr>
          <w:rFonts w:ascii="Arial" w:cs="Arial" w:eastAsia="Arial" w:hAnsi="Arial"/>
          <w:sz w:val="24"/>
          <w:szCs w:val="24"/>
          <w:highlight w:val="white"/>
        </w:rPr>
      </w:pPr>
      <w:r w:rsidDel="00000000" w:rsidR="00000000" w:rsidRPr="00000000">
        <w:rPr>
          <w:rFonts w:ascii="Arial" w:cs="Arial" w:eastAsia="Arial" w:hAnsi="Arial"/>
          <w:highlight w:val="white"/>
          <w:rtl w:val="0"/>
        </w:rPr>
        <w:t xml:space="preserve">Kessia Santos – </w:t>
      </w:r>
      <w:hyperlink r:id="rId14">
        <w:r w:rsidDel="00000000" w:rsidR="00000000" w:rsidRPr="00000000">
          <w:rPr>
            <w:rFonts w:ascii="Arial" w:cs="Arial" w:eastAsia="Arial" w:hAnsi="Arial"/>
            <w:color w:val="1155cc"/>
            <w:highlight w:val="white"/>
            <w:u w:val="single"/>
            <w:rtl w:val="0"/>
          </w:rPr>
          <w:t xml:space="preserve">kosantos@toyota.com.br</w:t>
        </w:r>
      </w:hyperlink>
      <w:r w:rsidDel="00000000" w:rsidR="00000000" w:rsidRPr="00000000">
        <w:rPr>
          <w:rFonts w:ascii="Arial" w:cs="Arial" w:eastAsia="Arial" w:hAnsi="Arial"/>
          <w:highlight w:val="white"/>
          <w:u w:val="single"/>
          <w:rtl w:val="0"/>
        </w:rPr>
        <w:t xml:space="preserve"> </w:t>
        <w:br w:type="textWrapping"/>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14">
      <w:pPr>
        <w:spacing w:after="240" w:before="240" w:line="276" w:lineRule="auto"/>
        <w:jc w:val="both"/>
        <w:rPr>
          <w:rFonts w:ascii="Arial" w:cs="Arial" w:eastAsia="Arial" w:hAnsi="Arial"/>
          <w:b w:val="1"/>
          <w:color w:val="b0273b"/>
          <w:highlight w:val="white"/>
        </w:rPr>
      </w:pPr>
      <w:r w:rsidDel="00000000" w:rsidR="00000000" w:rsidRPr="00000000">
        <w:rPr>
          <w:rFonts w:ascii="Arial" w:cs="Arial" w:eastAsia="Arial" w:hAnsi="Arial"/>
          <w:b w:val="1"/>
          <w:color w:val="b0273b"/>
          <w:highlight w:val="white"/>
          <w:rtl w:val="0"/>
        </w:rPr>
        <w:t xml:space="preserve">RPMA Comunicação</w:t>
      </w:r>
    </w:p>
    <w:p w:rsidR="00000000" w:rsidDel="00000000" w:rsidP="00000000" w:rsidRDefault="00000000" w:rsidRPr="00000000" w14:paraId="00000015">
      <w:pPr>
        <w:spacing w:after="240" w:before="240" w:line="276" w:lineRule="auto"/>
        <w:jc w:val="both"/>
        <w:rPr>
          <w:rFonts w:ascii="Arial" w:cs="Arial" w:eastAsia="Arial" w:hAnsi="Arial"/>
          <w:color w:val="0000ff"/>
          <w:highlight w:val="white"/>
          <w:u w:val="single"/>
        </w:rPr>
      </w:pPr>
      <w:r w:rsidDel="00000000" w:rsidR="00000000" w:rsidRPr="00000000">
        <w:rPr>
          <w:rFonts w:ascii="Arial" w:cs="Arial" w:eastAsia="Arial" w:hAnsi="Arial"/>
          <w:color w:val="0000ff"/>
          <w:highlight w:val="white"/>
          <w:u w:val="single"/>
          <w:rtl w:val="0"/>
        </w:rPr>
        <w:t xml:space="preserve">toyota@rpmacomunicacao.com.br </w:t>
      </w:r>
    </w:p>
    <w:p w:rsidR="00000000" w:rsidDel="00000000" w:rsidP="00000000" w:rsidRDefault="00000000" w:rsidRPr="00000000" w14:paraId="00000016">
      <w:pPr>
        <w:spacing w:after="240" w:before="240"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Guilherme Magna – (11) 98600-8988</w:t>
      </w:r>
    </w:p>
    <w:p w:rsidR="00000000" w:rsidDel="00000000" w:rsidP="00000000" w:rsidRDefault="00000000" w:rsidRPr="00000000" w14:paraId="00000017">
      <w:pPr>
        <w:spacing w:after="240" w:before="240"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Leonardo de Araujo – (11) 96084-0473</w:t>
      </w:r>
    </w:p>
    <w:p w:rsidR="00000000" w:rsidDel="00000000" w:rsidP="00000000" w:rsidRDefault="00000000" w:rsidRPr="00000000" w14:paraId="00000018">
      <w:pPr>
        <w:spacing w:after="240" w:before="240"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Henrique Carmo - (11) 98058-6298</w:t>
      </w:r>
    </w:p>
    <w:p w:rsidR="00000000" w:rsidDel="00000000" w:rsidP="00000000" w:rsidRDefault="00000000" w:rsidRPr="00000000" w14:paraId="00000019">
      <w:pPr>
        <w:spacing w:after="240" w:before="240" w:line="276" w:lineRule="auto"/>
        <w:jc w:val="both"/>
        <w:rPr>
          <w:rFonts w:ascii="Arial" w:cs="Arial" w:eastAsia="Arial" w:hAnsi="Arial"/>
          <w:sz w:val="24"/>
          <w:szCs w:val="24"/>
          <w:highlight w:val="yellow"/>
        </w:rPr>
      </w:pPr>
      <w:r w:rsidDel="00000000" w:rsidR="00000000" w:rsidRPr="00000000">
        <w:rPr>
          <w:rFonts w:ascii="Arial" w:cs="Arial" w:eastAsia="Arial" w:hAnsi="Arial"/>
          <w:b w:val="1"/>
          <w:color w:val="b0273b"/>
          <w:highlight w:val="white"/>
          <w:rtl w:val="0"/>
        </w:rPr>
        <w:t xml:space="preserve">Tel.: (11) 5501-4655</w:t>
      </w:r>
      <w:r w:rsidDel="00000000" w:rsidR="00000000" w:rsidRPr="00000000">
        <w:rPr>
          <w:rtl w:val="0"/>
        </w:rPr>
      </w:r>
    </w:p>
    <w:sectPr>
      <w:headerReference r:id="rId15" w:type="default"/>
      <w:headerReference r:id="rId16" w:type="first"/>
      <w:headerReference r:id="rId17" w:type="even"/>
      <w:footerReference r:id="rId18" w:type="default"/>
      <w:footerReference r:id="rId19"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4647255</wp:posOffset>
          </wp:positionH>
          <wp:positionV relativeFrom="paragraph">
            <wp:posOffset>-199988</wp:posOffset>
          </wp:positionV>
          <wp:extent cx="757237" cy="555307"/>
          <wp:effectExtent b="0" l="0" r="0" t="0"/>
          <wp:wrapSquare wrapText="bothSides" distB="114300" distT="114300" distL="114300" distR="114300"/>
          <wp:docPr id="24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7237" cy="55530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-70437</wp:posOffset>
          </wp:positionH>
          <wp:positionV relativeFrom="paragraph">
            <wp:posOffset>-116146</wp:posOffset>
          </wp:positionV>
          <wp:extent cx="1468755" cy="467995"/>
          <wp:effectExtent b="0" l="0" r="0" t="0"/>
          <wp:wrapNone/>
          <wp:docPr id="23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68755" cy="467995"/>
                  </a:xfrm>
                  <a:prstGeom prst="rect"/>
                  <a:ln/>
                </pic:spPr>
              </pic:pic>
            </a:graphicData>
          </a:graphic>
        </wp:anchor>
      </w:drawing>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2070100</wp:posOffset>
              </wp:positionH>
              <wp:positionV relativeFrom="paragraph">
                <wp:posOffset>0</wp:posOffset>
              </wp:positionV>
              <wp:extent cx="748665" cy="748665"/>
              <wp:effectExtent b="0" l="0" r="0" t="0"/>
              <wp:wrapSquare wrapText="bothSides" distB="0" distT="0" distL="0" distR="0"/>
              <wp:docPr descr="• PUBLIC 公開" id="238"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2070100</wp:posOffset>
              </wp:positionH>
              <wp:positionV relativeFrom="paragraph">
                <wp:posOffset>0</wp:posOffset>
              </wp:positionV>
              <wp:extent cx="748665" cy="748665"/>
              <wp:effectExtent b="0" l="0" r="0" t="0"/>
              <wp:wrapSquare wrapText="bothSides" distB="0" distT="0" distL="0" distR="0"/>
              <wp:docPr descr="• PUBLIC 公開" id="238"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748665" cy="748665"/>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2070100</wp:posOffset>
              </wp:positionH>
              <wp:positionV relativeFrom="paragraph">
                <wp:posOffset>0</wp:posOffset>
              </wp:positionV>
              <wp:extent cx="748665" cy="748665"/>
              <wp:effectExtent b="0" l="0" r="0" t="0"/>
              <wp:wrapSquare wrapText="bothSides" distB="0" distT="0" distL="0" distR="0"/>
              <wp:docPr descr="• PUBLIC 公開" id="237"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2070100</wp:posOffset>
              </wp:positionH>
              <wp:positionV relativeFrom="paragraph">
                <wp:posOffset>0</wp:posOffset>
              </wp:positionV>
              <wp:extent cx="748665" cy="748665"/>
              <wp:effectExtent b="0" l="0" r="0" t="0"/>
              <wp:wrapSquare wrapText="bothSides" distB="0" distT="0" distL="0" distR="0"/>
              <wp:docPr descr="• PUBLIC 公開" id="237" name="image3.png"/>
              <a:graphic>
                <a:graphicData uri="http://schemas.openxmlformats.org/drawingml/2006/picture">
                  <pic:pic>
                    <pic:nvPicPr>
                      <pic:cNvPr descr="• PUBLIC 公開" id="0" name="image3.png"/>
                      <pic:cNvPicPr preferRelativeResize="0"/>
                    </pic:nvPicPr>
                    <pic:blipFill>
                      <a:blip r:embed="rId1"/>
                      <a:srcRect/>
                      <a:stretch>
                        <a:fillRect/>
                      </a:stretch>
                    </pic:blipFill>
                    <pic:spPr>
                      <a:xfrm>
                        <a:off x="0" y="0"/>
                        <a:ext cx="748665" cy="74866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Normalf4" w:customStyle="1">
    <w:name w:val="Table Normal"/>
    <w:tblPr>
      <w:tblCellMar>
        <w:top w:w="0.0" w:type="dxa"/>
        <w:left w:w="0.0" w:type="dxa"/>
        <w:bottom w:w="0.0" w:type="dxa"/>
        <w:right w:w="0.0" w:type="dxa"/>
      </w:tblCellMar>
    </w:tblPr>
  </w:style>
  <w:style w:type="table" w:styleId="TableNormalf5" w:customStyle="1">
    <w:name w:val="Table Normal"/>
    <w:tblPr>
      <w:tblCellMar>
        <w:top w:w="0.0" w:type="dxa"/>
        <w:left w:w="0.0" w:type="dxa"/>
        <w:bottom w:w="0.0" w:type="dxa"/>
        <w:right w:w="0.0" w:type="dxa"/>
      </w:tblCellMar>
    </w:tblPr>
  </w:style>
  <w:style w:type="table" w:styleId="TableNormalf6" w:customStyle="1">
    <w:name w:val="Table Normal"/>
    <w:tblPr>
      <w:tblCellMar>
        <w:top w:w="0.0" w:type="dxa"/>
        <w:left w:w="0.0" w:type="dxa"/>
        <w:bottom w:w="0.0" w:type="dxa"/>
        <w:right w:w="0.0" w:type="dxa"/>
      </w:tblCellMar>
    </w:tblPr>
  </w:style>
  <w:style w:type="table" w:styleId="TableNormalf7" w:customStyle="1">
    <w:name w:val="Table Normal"/>
    <w:tblPr>
      <w:tblCellMar>
        <w:top w:w="0.0" w:type="dxa"/>
        <w:left w:w="0.0" w:type="dxa"/>
        <w:bottom w:w="0.0" w:type="dxa"/>
        <w:right w:w="0.0" w:type="dxa"/>
      </w:tblCellMar>
    </w:tblPr>
  </w:style>
  <w:style w:type="table" w:styleId="TableNormalf8" w:customStyle="1">
    <w:name w:val="Table Normal"/>
    <w:tblPr>
      <w:tblCellMar>
        <w:top w:w="0.0" w:type="dxa"/>
        <w:left w:w="0.0" w:type="dxa"/>
        <w:bottom w:w="0.0" w:type="dxa"/>
        <w:right w:w="0.0" w:type="dxa"/>
      </w:tblCellMar>
    </w:tblPr>
  </w:style>
  <w:style w:type="table" w:styleId="TableNormalf9" w:customStyle="1">
    <w:name w:val="Table Normal"/>
    <w:tblPr>
      <w:tblCellMar>
        <w:top w:w="0.0" w:type="dxa"/>
        <w:left w:w="0.0" w:type="dxa"/>
        <w:bottom w:w="0.0" w:type="dxa"/>
        <w:right w:w="0.0" w:type="dxa"/>
      </w:tblCellMar>
    </w:tblPr>
  </w:style>
  <w:style w:type="table" w:styleId="TableNormalfa" w:customStyle="1">
    <w:name w:val="Table Normal"/>
    <w:tblPr>
      <w:tblCellMar>
        <w:top w:w="0.0" w:type="dxa"/>
        <w:left w:w="0.0" w:type="dxa"/>
        <w:bottom w:w="0.0" w:type="dxa"/>
        <w:right w:w="0.0" w:type="dxa"/>
      </w:tblCellMar>
    </w:tblPr>
  </w:style>
  <w:style w:type="table" w:styleId="TableNormalfb" w:customStyle="1">
    <w:name w:val="Table Normal"/>
    <w:tblPr>
      <w:tblCellMar>
        <w:top w:w="0.0" w:type="dxa"/>
        <w:left w:w="0.0" w:type="dxa"/>
        <w:bottom w:w="0.0" w:type="dxa"/>
        <w:right w:w="0.0" w:type="dxa"/>
      </w:tblCellMar>
    </w:tblPr>
  </w:style>
  <w:style w:type="table" w:styleId="TableNormalfc" w:customStyle="1">
    <w:name w:val="Table Normal"/>
    <w:tblPr>
      <w:tblCellMar>
        <w:top w:w="0.0" w:type="dxa"/>
        <w:left w:w="0.0" w:type="dxa"/>
        <w:bottom w:w="0.0" w:type="dxa"/>
        <w:right w:w="0.0" w:type="dxa"/>
      </w:tblCellMar>
    </w:tblPr>
  </w:style>
  <w:style w:type="table" w:styleId="TableNormalfd" w:customStyle="1">
    <w:name w:val="Table Normal"/>
    <w:tblPr>
      <w:tblCellMar>
        <w:top w:w="0.0" w:type="dxa"/>
        <w:left w:w="0.0" w:type="dxa"/>
        <w:bottom w:w="0.0" w:type="dxa"/>
        <w:right w:w="0.0" w:type="dxa"/>
      </w:tblCellMar>
    </w:tblPr>
  </w:style>
  <w:style w:type="table" w:styleId="TableNormalfe" w:customStyle="1">
    <w:name w:val="Table Normal"/>
    <w:tblPr>
      <w:tblCellMar>
        <w:top w:w="0.0" w:type="dxa"/>
        <w:left w:w="0.0" w:type="dxa"/>
        <w:bottom w:w="0.0" w:type="dxa"/>
        <w:right w:w="0.0" w:type="dxa"/>
      </w:tblCellMar>
    </w:tblPr>
  </w:style>
  <w:style w:type="table" w:styleId="TableNormalff" w:customStyle="1">
    <w:name w:val="Table Normal"/>
    <w:tblPr>
      <w:tblCellMar>
        <w:top w:w="0.0" w:type="dxa"/>
        <w:left w:w="0.0" w:type="dxa"/>
        <w:bottom w:w="0.0" w:type="dxa"/>
        <w:right w:w="0.0" w:type="dxa"/>
      </w:tblCellMar>
    </w:tblPr>
  </w:style>
  <w:style w:type="table" w:styleId="TableNormalff0" w:customStyle="1">
    <w:name w:val="Table Normal"/>
    <w:tblPr>
      <w:tblCellMar>
        <w:top w:w="0.0" w:type="dxa"/>
        <w:left w:w="0.0" w:type="dxa"/>
        <w:bottom w:w="0.0" w:type="dxa"/>
        <w:right w:w="0.0" w:type="dxa"/>
      </w:tblCellMar>
    </w:tblPr>
  </w:style>
  <w:style w:type="table" w:styleId="TableNormalff1" w:customStyle="1">
    <w:name w:val="Table Normal"/>
    <w:tblPr>
      <w:tblCellMar>
        <w:top w:w="0.0" w:type="dxa"/>
        <w:left w:w="0.0" w:type="dxa"/>
        <w:bottom w:w="0.0" w:type="dxa"/>
        <w:right w:w="0.0" w:type="dxa"/>
      </w:tblCellMar>
    </w:tblPr>
  </w:style>
  <w:style w:type="table" w:styleId="TableNormalff2" w:customStyle="1">
    <w:name w:val="Table Normal"/>
    <w:tblPr>
      <w:tblCellMar>
        <w:top w:w="0.0" w:type="dxa"/>
        <w:left w:w="0.0" w:type="dxa"/>
        <w:bottom w:w="0.0" w:type="dxa"/>
        <w:right w:w="0.0" w:type="dxa"/>
      </w:tblCellMar>
    </w:tblPr>
  </w:style>
  <w:style w:type="table" w:styleId="TableNormalff3" w:customStyle="1">
    <w:name w:val="Table Normal"/>
    <w:tblPr>
      <w:tblCellMar>
        <w:top w:w="0.0" w:type="dxa"/>
        <w:left w:w="0.0" w:type="dxa"/>
        <w:bottom w:w="0.0" w:type="dxa"/>
        <w:right w:w="0.0" w:type="dxa"/>
      </w:tblCellMar>
    </w:tblPr>
  </w:style>
  <w:style w:type="table" w:styleId="TableNormalff4" w:customStyle="1">
    <w:name w:val="Table Normal"/>
    <w:tblPr>
      <w:tblCellMar>
        <w:top w:w="0.0" w:type="dxa"/>
        <w:left w:w="0.0" w:type="dxa"/>
        <w:bottom w:w="0.0" w:type="dxa"/>
        <w:right w:w="0.0" w:type="dxa"/>
      </w:tblCellMar>
    </w:tblPr>
  </w:style>
  <w:style w:type="table" w:styleId="TableNormalff5" w:customStyle="1">
    <w:name w:val="Table Normal"/>
    <w:tblPr>
      <w:tblCellMar>
        <w:top w:w="0.0" w:type="dxa"/>
        <w:left w:w="0.0" w:type="dxa"/>
        <w:bottom w:w="0.0" w:type="dxa"/>
        <w:right w:w="0.0" w:type="dxa"/>
      </w:tblCellMar>
    </w:tblPr>
  </w:style>
  <w:style w:type="table" w:styleId="TableNormalff6" w:customStyle="1">
    <w:name w:val="Table Normal"/>
    <w:tblPr>
      <w:tblCellMar>
        <w:top w:w="0.0" w:type="dxa"/>
        <w:left w:w="0.0" w:type="dxa"/>
        <w:bottom w:w="0.0" w:type="dxa"/>
        <w:right w:w="0.0" w:type="dxa"/>
      </w:tblCellMar>
    </w:tblPr>
  </w:style>
  <w:style w:type="table" w:styleId="TableNormalff7" w:customStyle="1">
    <w:name w:val="Table Normal"/>
    <w:tblPr>
      <w:tblCellMar>
        <w:top w:w="0.0" w:type="dxa"/>
        <w:left w:w="0.0" w:type="dxa"/>
        <w:bottom w:w="0.0" w:type="dxa"/>
        <w:right w:w="0.0" w:type="dxa"/>
      </w:tblCellMar>
    </w:tblPr>
  </w:style>
  <w:style w:type="table" w:styleId="TableNormalff8" w:customStyle="1">
    <w:name w:val="Table Normal"/>
    <w:tblPr>
      <w:tblCellMar>
        <w:top w:w="0.0" w:type="dxa"/>
        <w:left w:w="0.0" w:type="dxa"/>
        <w:bottom w:w="0.0" w:type="dxa"/>
        <w:right w:w="0.0" w:type="dxa"/>
      </w:tblCellMar>
    </w:tblPr>
  </w:style>
  <w:style w:type="table" w:styleId="TableNormalff9" w:customStyle="1">
    <w:name w:val="Table Normal"/>
    <w:tblPr>
      <w:tblCellMar>
        <w:top w:w="0.0" w:type="dxa"/>
        <w:left w:w="0.0" w:type="dxa"/>
        <w:bottom w:w="0.0" w:type="dxa"/>
        <w:right w:w="0.0" w:type="dxa"/>
      </w:tblCellMar>
    </w:tblPr>
  </w:style>
  <w:style w:type="table" w:styleId="TableNormalffa" w:customStyle="1">
    <w:name w:val="Table Normal"/>
    <w:tblPr>
      <w:tblCellMar>
        <w:top w:w="0.0" w:type="dxa"/>
        <w:left w:w="0.0" w:type="dxa"/>
        <w:bottom w:w="0.0" w:type="dxa"/>
        <w:right w:w="0.0" w:type="dxa"/>
      </w:tblCellMar>
    </w:tblPr>
  </w:style>
  <w:style w:type="table" w:styleId="TableNormalffb" w:customStyle="1">
    <w:name w:val="Table Normal"/>
    <w:tblPr>
      <w:tblCellMar>
        <w:top w:w="0.0" w:type="dxa"/>
        <w:left w:w="0.0" w:type="dxa"/>
        <w:bottom w:w="0.0" w:type="dxa"/>
        <w:right w:w="0.0" w:type="dxa"/>
      </w:tblCellMar>
    </w:tblPr>
  </w:style>
  <w:style w:type="table" w:styleId="TableNormalffc" w:customStyle="1">
    <w:name w:val="Table Normal"/>
    <w:tblPr>
      <w:tblCellMar>
        <w:top w:w="0.0" w:type="dxa"/>
        <w:left w:w="0.0" w:type="dxa"/>
        <w:bottom w:w="0.0" w:type="dxa"/>
        <w:right w:w="0.0" w:type="dxa"/>
      </w:tblCellMar>
    </w:tblPr>
  </w:style>
  <w:style w:type="table" w:styleId="TableNormalffd" w:customStyle="1">
    <w:name w:val="Table Normal"/>
    <w:tblPr>
      <w:tblCellMar>
        <w:top w:w="0.0" w:type="dxa"/>
        <w:left w:w="0.0" w:type="dxa"/>
        <w:bottom w:w="0.0" w:type="dxa"/>
        <w:right w:w="0.0" w:type="dxa"/>
      </w:tblCellMar>
    </w:tblPr>
  </w:style>
  <w:style w:type="table" w:styleId="TableNormalffe"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34005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40054"/>
  </w:style>
  <w:style w:type="paragraph" w:styleId="Rodap">
    <w:name w:val="footer"/>
    <w:basedOn w:val="Normal"/>
    <w:link w:val="RodapChar"/>
    <w:uiPriority w:val="99"/>
    <w:unhideWhenUsed w:val="1"/>
    <w:rsid w:val="00340054"/>
    <w:pPr>
      <w:tabs>
        <w:tab w:val="center" w:pos="4252"/>
        <w:tab w:val="right" w:pos="8504"/>
      </w:tabs>
      <w:spacing w:after="0" w:line="240" w:lineRule="auto"/>
    </w:pPr>
  </w:style>
  <w:style w:type="character" w:styleId="RodapChar" w:customStyle="1">
    <w:name w:val="Rodapé Char"/>
    <w:basedOn w:val="Fontepargpadro"/>
    <w:link w:val="Rodap"/>
    <w:uiPriority w:val="99"/>
    <w:rsid w:val="00340054"/>
  </w:style>
  <w:style w:type="paragraph" w:styleId="PargrafodaLista">
    <w:name w:val="List Paragraph"/>
    <w:basedOn w:val="Normal"/>
    <w:uiPriority w:val="34"/>
    <w:qFormat w:val="1"/>
    <w:rsid w:val="00FE679A"/>
    <w:pPr>
      <w:ind w:left="720"/>
      <w:contextualSpacing w:val="1"/>
    </w:pPr>
  </w:style>
  <w:style w:type="paragraph" w:styleId="Textodebalo">
    <w:name w:val="Balloon Text"/>
    <w:basedOn w:val="Normal"/>
    <w:link w:val="TextodebaloChar"/>
    <w:uiPriority w:val="99"/>
    <w:semiHidden w:val="1"/>
    <w:unhideWhenUsed w:val="1"/>
    <w:rsid w:val="00FE679A"/>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E679A"/>
    <w:rPr>
      <w:rFonts w:ascii="Segoe UI" w:cs="Segoe UI" w:hAnsi="Segoe UI"/>
      <w:sz w:val="18"/>
      <w:szCs w:val="18"/>
    </w:rPr>
  </w:style>
  <w:style w:type="character" w:styleId="Refdecomentrio">
    <w:name w:val="annotation reference"/>
    <w:basedOn w:val="Fontepargpadro"/>
    <w:uiPriority w:val="99"/>
    <w:semiHidden w:val="1"/>
    <w:unhideWhenUsed w:val="1"/>
    <w:rsid w:val="00491CD6"/>
    <w:rPr>
      <w:sz w:val="16"/>
      <w:szCs w:val="16"/>
    </w:rPr>
  </w:style>
  <w:style w:type="paragraph" w:styleId="Textodecomentrio">
    <w:name w:val="annotation text"/>
    <w:basedOn w:val="Normal"/>
    <w:link w:val="TextodecomentrioChar"/>
    <w:uiPriority w:val="99"/>
    <w:unhideWhenUsed w:val="1"/>
    <w:rsid w:val="00491CD6"/>
    <w:pPr>
      <w:spacing w:line="240" w:lineRule="auto"/>
    </w:pPr>
    <w:rPr>
      <w:sz w:val="20"/>
      <w:szCs w:val="20"/>
    </w:rPr>
  </w:style>
  <w:style w:type="character" w:styleId="TextodecomentrioChar" w:customStyle="1">
    <w:name w:val="Texto de comentário Char"/>
    <w:basedOn w:val="Fontepargpadro"/>
    <w:link w:val="Textodecomentrio"/>
    <w:uiPriority w:val="99"/>
    <w:rsid w:val="00491CD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491CD6"/>
    <w:rPr>
      <w:b w:val="1"/>
      <w:bCs w:val="1"/>
    </w:rPr>
  </w:style>
  <w:style w:type="character" w:styleId="AssuntodocomentrioChar" w:customStyle="1">
    <w:name w:val="Assunto do comentário Char"/>
    <w:basedOn w:val="TextodecomentrioChar"/>
    <w:link w:val="Assuntodocomentrio"/>
    <w:uiPriority w:val="99"/>
    <w:semiHidden w:val="1"/>
    <w:rsid w:val="00491CD6"/>
    <w:rPr>
      <w:b w:val="1"/>
      <w:bCs w:val="1"/>
      <w:sz w:val="20"/>
      <w:szCs w:val="20"/>
    </w:rPr>
  </w:style>
  <w:style w:type="paragraph" w:styleId="NormalWeb">
    <w:name w:val="Normal (Web)"/>
    <w:basedOn w:val="Normal"/>
    <w:uiPriority w:val="99"/>
    <w:unhideWhenUsed w:val="1"/>
    <w:rsid w:val="00331BE4"/>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331BE4"/>
    <w:rPr>
      <w:b w:val="1"/>
      <w:bCs w:val="1"/>
    </w:rPr>
  </w:style>
  <w:style w:type="character" w:styleId="Hyperlink">
    <w:name w:val="Hyperlink"/>
    <w:basedOn w:val="Fontepargpadro"/>
    <w:uiPriority w:val="99"/>
    <w:unhideWhenUsed w:val="1"/>
    <w:rsid w:val="00331BE4"/>
    <w:rPr>
      <w:color w:val="0000ff"/>
      <w:u w:val="single"/>
    </w:rPr>
  </w:style>
  <w:style w:type="character" w:styleId="nfase">
    <w:name w:val="Emphasis"/>
    <w:basedOn w:val="Fontepargpadro"/>
    <w:uiPriority w:val="20"/>
    <w:qFormat w:val="1"/>
    <w:rsid w:val="00C47BCD"/>
    <w:rPr>
      <w:i w:val="1"/>
      <w:iCs w:val="1"/>
    </w:rPr>
  </w:style>
  <w:style w:type="character" w:styleId="MenoPendente1" w:customStyle="1">
    <w:name w:val="Menção Pendente1"/>
    <w:basedOn w:val="Fontepargpadro"/>
    <w:uiPriority w:val="99"/>
    <w:semiHidden w:val="1"/>
    <w:unhideWhenUsed w:val="1"/>
    <w:rsid w:val="00D269DC"/>
    <w:rPr>
      <w:color w:val="605e5c"/>
      <w:shd w:color="auto" w:fill="e1dfdd" w:val="clear"/>
    </w:rPr>
  </w:style>
  <w:style w:type="paragraph" w:styleId="Reviso">
    <w:name w:val="Revision"/>
    <w:hidden w:val="1"/>
    <w:uiPriority w:val="99"/>
    <w:semiHidden w:val="1"/>
    <w:rsid w:val="00BE7AAB"/>
    <w:pPr>
      <w:spacing w:after="0" w:line="240" w:lineRule="auto"/>
    </w:pPr>
  </w:style>
  <w:style w:type="character" w:styleId="MenoPendente2" w:customStyle="1">
    <w:name w:val="Menção Pendente2"/>
    <w:basedOn w:val="Fontepargpadro"/>
    <w:uiPriority w:val="99"/>
    <w:semiHidden w:val="1"/>
    <w:unhideWhenUsed w:val="1"/>
    <w:rsid w:val="008275AB"/>
    <w:rPr>
      <w:color w:val="605e5c"/>
      <w:shd w:color="auto" w:fill="e1dfdd" w:val="clear"/>
    </w:rPr>
  </w:style>
  <w:style w:type="character" w:styleId="MenoPendente3" w:customStyle="1">
    <w:name w:val="Menção Pendente3"/>
    <w:basedOn w:val="Fontepargpadro"/>
    <w:uiPriority w:val="99"/>
    <w:semiHidden w:val="1"/>
    <w:unhideWhenUsed w:val="1"/>
    <w:rsid w:val="002E5B26"/>
    <w:rPr>
      <w:color w:val="605e5c"/>
      <w:shd w:color="auto" w:fill="e1dfdd" w:val="clear"/>
    </w:rPr>
  </w:style>
  <w:style w:type="paragraph" w:styleId="paragraph" w:customStyle="1">
    <w:name w:val="paragraph"/>
    <w:basedOn w:val="Normal"/>
    <w:rsid w:val="00556850"/>
    <w:pPr>
      <w:spacing w:after="100" w:afterAutospacing="1" w:before="100" w:beforeAutospacing="1" w:line="240" w:lineRule="auto"/>
    </w:pPr>
    <w:rPr>
      <w:rFonts w:eastAsiaTheme="minorHAnsi"/>
    </w:rPr>
  </w:style>
  <w:style w:type="character" w:styleId="eop" w:customStyle="1">
    <w:name w:val="eop"/>
    <w:basedOn w:val="Fontepargpadro"/>
    <w:rsid w:val="00556850"/>
  </w:style>
  <w:style w:type="character" w:styleId="normaltextrun" w:customStyle="1">
    <w:name w:val="normaltextrun"/>
    <w:basedOn w:val="Fontepargpadro"/>
    <w:rsid w:val="0055685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oyota.com.br" TargetMode="External"/><Relationship Id="rId10" Type="http://schemas.openxmlformats.org/officeDocument/2006/relationships/hyperlink" Target="https://www.toyota.com.br" TargetMode="External"/><Relationship Id="rId13" Type="http://schemas.openxmlformats.org/officeDocument/2006/relationships/hyperlink" Target="mailto:kbuarque@toyota.com.br" TargetMode="External"/><Relationship Id="rId12" Type="http://schemas.openxmlformats.org/officeDocument/2006/relationships/hyperlink" Target="mailto:lassis@toyota.com.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yota-global.com" TargetMode="External"/><Relationship Id="rId15" Type="http://schemas.openxmlformats.org/officeDocument/2006/relationships/header" Target="header1.xml"/><Relationship Id="rId14" Type="http://schemas.openxmlformats.org/officeDocument/2006/relationships/hyperlink" Target="mailto:kosantos@toyota.com.br"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toyotabrasil.gupy.io/jobs/5339560?jobBoardSource=gupy_public_page" TargetMode="External"/><Relationship Id="rId8" Type="http://schemas.openxmlformats.org/officeDocument/2006/relationships/hyperlink" Target="https://www.toyota-glob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6oLI2KL4ACNaeuFXWFnFmkpuTQ==">CgMxLjA4AHIhMWlnS1RjYmhsTVg3cDlsZ1RoM2h5RTRlbGk2Q2pCendi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2023-08-29T21:05:00Z</dcterms:created>
  <dc:creator>fernando.irribarra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2022-06-01T17:14:08Z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99fc1fa2-5bfd-4d6d-900e-54aa88779821</vt:lpwstr>
  </property>
  <property fmtid="{D5CDD505-2E9C-101B-9397-08002B2CF9AE}" pid="11" name="MSIP_Label_023e975b-7b34-49da-9033-9c8f8f7bcde3_ContentBits">
    <vt:lpwstr>1</vt:lpwstr>
  </property>
</Properties>
</file>