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0" w:line="360" w:lineRule="auto"/>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rtl w:val="0"/>
        </w:rPr>
        <w:t xml:space="preserve">Toyota do Brasil abre programa de estágio para 2024</w:t>
      </w:r>
      <w:r w:rsidDel="00000000" w:rsidR="00000000" w:rsidRPr="00000000">
        <w:rPr>
          <w:rtl w:val="0"/>
        </w:rPr>
      </w:r>
    </w:p>
    <w:p w:rsidR="00000000" w:rsidDel="00000000" w:rsidP="00000000" w:rsidRDefault="00000000" w:rsidRPr="00000000" w14:paraId="00000003">
      <w:pPr>
        <w:spacing w:after="0" w:line="360" w:lineRule="auto"/>
        <w:jc w:val="cente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4">
      <w:pPr>
        <w:numPr>
          <w:ilvl w:val="0"/>
          <w:numId w:val="1"/>
        </w:numPr>
        <w:spacing w:after="0" w:line="360" w:lineRule="auto"/>
        <w:ind w:left="720" w:hanging="36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São 34 vagas divididas pelas plantas de Indaiatuba, Porto Feliz e Sorocaba</w:t>
      </w:r>
      <w:r w:rsidDel="00000000" w:rsidR="00000000" w:rsidRPr="00000000">
        <w:rPr>
          <w:rtl w:val="0"/>
        </w:rPr>
      </w:r>
    </w:p>
    <w:p w:rsidR="00000000" w:rsidDel="00000000" w:rsidP="00000000" w:rsidRDefault="00000000" w:rsidRPr="00000000" w14:paraId="00000005">
      <w:pPr>
        <w:numPr>
          <w:ilvl w:val="0"/>
          <w:numId w:val="2"/>
        </w:numPr>
        <w:spacing w:after="0" w:line="360" w:lineRule="auto"/>
        <w:ind w:left="720" w:hanging="360"/>
        <w:jc w:val="both"/>
        <w:rPr>
          <w:rFonts w:ascii="Arial" w:cs="Arial" w:eastAsia="Arial" w:hAnsi="Arial"/>
        </w:rPr>
      </w:pPr>
      <w:r w:rsidDel="00000000" w:rsidR="00000000" w:rsidRPr="00000000">
        <w:rPr>
          <w:rFonts w:ascii="Arial" w:cs="Arial" w:eastAsia="Arial" w:hAnsi="Arial"/>
          <w:i w:val="1"/>
          <w:sz w:val="20"/>
          <w:szCs w:val="20"/>
          <w:rtl w:val="0"/>
        </w:rPr>
        <w:t xml:space="preserve">Estudantes dos cursos de diversas áreas de conhecimento podem se inscrever até</w:t>
      </w:r>
      <w:r w:rsidDel="00000000" w:rsidR="00000000" w:rsidRPr="00000000">
        <w:rPr>
          <w:rFonts w:ascii="Arial" w:cs="Arial" w:eastAsia="Arial" w:hAnsi="Arial"/>
          <w:i w:val="1"/>
          <w:sz w:val="20"/>
          <w:szCs w:val="20"/>
          <w:rtl w:val="0"/>
        </w:rPr>
        <w:t xml:space="preserve"> 30 de setembro</w:t>
      </w: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7">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Toyota do Brasil está com vagas abertas para o programa de estágio 2024. Ao todo são 34 vagas para as plantas de Indaiatuba, Porto Feliz e Sorocaba. Os estudantes interessados podem se inscrever na página da Toyota na Gupy ou pelo </w:t>
      </w:r>
      <w:r w:rsidDel="00000000" w:rsidR="00000000" w:rsidRPr="00000000">
        <w:rPr>
          <w:rFonts w:ascii="Arial" w:cs="Arial" w:eastAsia="Arial" w:hAnsi="Arial"/>
          <w:i w:val="1"/>
          <w:sz w:val="20"/>
          <w:szCs w:val="20"/>
          <w:rtl w:val="0"/>
        </w:rPr>
        <w:t xml:space="preserve">link</w:t>
      </w:r>
      <w:r w:rsidDel="00000000" w:rsidR="00000000" w:rsidRPr="00000000">
        <w:rPr>
          <w:rFonts w:ascii="Arial" w:cs="Arial" w:eastAsia="Arial" w:hAnsi="Arial"/>
          <w:sz w:val="20"/>
          <w:szCs w:val="20"/>
          <w:rtl w:val="0"/>
        </w:rPr>
        <w:t xml:space="preserve"> </w:t>
      </w:r>
      <w:hyperlink r:id="rId7">
        <w:r w:rsidDel="00000000" w:rsidR="00000000" w:rsidRPr="00000000">
          <w:rPr>
            <w:rFonts w:ascii="Arial" w:cs="Arial" w:eastAsia="Arial" w:hAnsi="Arial"/>
            <w:sz w:val="20"/>
            <w:szCs w:val="20"/>
            <w:u w:val="single"/>
            <w:rtl w:val="0"/>
          </w:rPr>
          <w:t xml:space="preserve">https://toyotabrasil.gupy.io/jobs/5339560?jobBoardSource=gupy_public_page</w:t>
        </w:r>
      </w:hyperlink>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até o dia 30 de setembro. </w:t>
      </w:r>
    </w:p>
    <w:p w:rsidR="00000000" w:rsidDel="00000000" w:rsidP="00000000" w:rsidRDefault="00000000" w:rsidRPr="00000000" w14:paraId="00000008">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candidatos devem ter graduação prevista até dezembro de 2025, além de inglês intermediário e domínio do pacote Office. As vagas estão abertas para estudantes dos cursos de administração, análise e desenvolvimento de sistemas, ciências contábeis, ciência da computação, ciência de dados, ciências econômicas, engenharia ambiental, engenharia automotiva, engenharia da computação, engenharia de controle e automação, engenharia de materiais, engenharia de produção, engenharia de sistemas, engenharia de software, engenharia elétrica, engenharia eletrônica, engenharia mecânica, engenharia mecatrônica, engenharia metalúrgica, engenharia química, jornalismo, logística, marketing, psicologia, recursos humanos, relações públicas, tecnologia da </w:t>
      </w:r>
      <w:r w:rsidDel="00000000" w:rsidR="00000000" w:rsidRPr="00000000">
        <w:rPr>
          <w:rFonts w:ascii="Arial" w:cs="Arial" w:eastAsia="Arial" w:hAnsi="Arial"/>
          <w:strike w:val="1"/>
          <w:sz w:val="20"/>
          <w:szCs w:val="20"/>
          <w:rtl w:val="0"/>
        </w:rPr>
        <w:t xml:space="preserve">I</w:t>
      </w:r>
      <w:r w:rsidDel="00000000" w:rsidR="00000000" w:rsidRPr="00000000">
        <w:rPr>
          <w:rFonts w:ascii="Arial" w:cs="Arial" w:eastAsia="Arial" w:hAnsi="Arial"/>
          <w:sz w:val="20"/>
          <w:szCs w:val="20"/>
          <w:rtl w:val="0"/>
        </w:rPr>
        <w:t xml:space="preserve">informação, tecnologia em comércio exterior, tecnologia em gestão da produção </w:t>
      </w:r>
      <w:r w:rsidDel="00000000" w:rsidR="00000000" w:rsidRPr="00000000">
        <w:rPr>
          <w:rFonts w:ascii="Arial" w:cs="Arial" w:eastAsia="Arial" w:hAnsi="Arial"/>
          <w:strike w:val="1"/>
          <w:sz w:val="20"/>
          <w:szCs w:val="20"/>
          <w:rtl w:val="0"/>
        </w:rPr>
        <w:t xml:space="preserve">I</w:t>
      </w:r>
      <w:r w:rsidDel="00000000" w:rsidR="00000000" w:rsidRPr="00000000">
        <w:rPr>
          <w:rFonts w:ascii="Arial" w:cs="Arial" w:eastAsia="Arial" w:hAnsi="Arial"/>
          <w:sz w:val="20"/>
          <w:szCs w:val="20"/>
          <w:rtl w:val="0"/>
        </w:rPr>
        <w:t xml:space="preserve">industrial, tecnologia em processos químicos, tecnologia em química, tecnólogo eletrônica automotiva, tecnólogo em automação industrial, tecnólogo em gestão de negócios, tecnólogo fabricação mecânica, tecnólogo gestão da qualidade, tecnólogo manufatura avançada, tecnólogo projetos </w:t>
      </w:r>
      <w:r w:rsidDel="00000000" w:rsidR="00000000" w:rsidRPr="00000000">
        <w:rPr>
          <w:rFonts w:ascii="Arial" w:cs="Arial" w:eastAsia="Arial" w:hAnsi="Arial"/>
          <w:sz w:val="20"/>
          <w:szCs w:val="20"/>
          <w:rtl w:val="0"/>
        </w:rPr>
        <w:t xml:space="preserve">mecânicos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A">
      <w:pPr>
        <w:spacing w:after="240" w:before="240" w:line="36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0B">
      <w:pPr>
        <w:spacing w:after="240" w:before="240" w:line="36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_____________________________________________________________</w:t>
      </w:r>
    </w:p>
    <w:p w:rsidR="00000000" w:rsidDel="00000000" w:rsidP="00000000" w:rsidRDefault="00000000" w:rsidRPr="00000000" w14:paraId="0000000C">
      <w:pPr>
        <w:spacing w:after="0" w:line="36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Sobre a Toyota do Brasil</w:t>
      </w: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A Toyota do Brasil está presente no País há 65 anos. Possui quatro unidades produtivas, localizadas em Indaiatuba, Sorocaba, Porto Feliz e São Bernardo do Campo, todas no Estado de São Paulo, e emprega cerca de 6 mil pessoas. A Toyota é a montadora líder em eletrificação no mundo: desde 1997 já foram comercializados mais de 20 milhões de automóveis mais limpos, sejam modelos híbridos, híbridos flex, híbridos </w:t>
      </w:r>
      <w:r w:rsidDel="00000000" w:rsidR="00000000" w:rsidRPr="00000000">
        <w:rPr>
          <w:rFonts w:ascii="Arial" w:cs="Arial" w:eastAsia="Arial" w:hAnsi="Arial"/>
          <w:sz w:val="20"/>
          <w:szCs w:val="20"/>
          <w:highlight w:val="white"/>
          <w:rtl w:val="0"/>
        </w:rPr>
        <w:t xml:space="preserve">plug-in</w:t>
      </w:r>
      <w:r w:rsidDel="00000000" w:rsidR="00000000" w:rsidRPr="00000000">
        <w:rPr>
          <w:rFonts w:ascii="Arial" w:cs="Arial" w:eastAsia="Arial" w:hAnsi="Arial"/>
          <w:i w:val="1"/>
          <w:sz w:val="20"/>
          <w:szCs w:val="20"/>
          <w:highlight w:val="white"/>
          <w:rtl w:val="0"/>
        </w:rPr>
        <w:t xml:space="preserve">, 100% a bateria ou movidos a hidrogênio.</w:t>
      </w:r>
    </w:p>
    <w:p w:rsidR="00000000" w:rsidDel="00000000" w:rsidP="00000000" w:rsidRDefault="00000000" w:rsidRPr="00000000" w14:paraId="0000000E">
      <w:pPr>
        <w:spacing w:after="0" w:line="240" w:lineRule="auto"/>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w:t>
      </w:r>
      <w:r w:rsidDel="00000000" w:rsidR="00000000" w:rsidRPr="00000000">
        <w:rPr>
          <w:rFonts w:ascii="Arial" w:cs="Arial" w:eastAsia="Arial" w:hAnsi="Arial"/>
          <w:sz w:val="20"/>
          <w:szCs w:val="20"/>
          <w:highlight w:val="white"/>
          <w:rtl w:val="0"/>
        </w:rPr>
        <w:t xml:space="preserve">Happiness for All</w:t>
      </w:r>
      <w:r w:rsidDel="00000000" w:rsidR="00000000" w:rsidRPr="00000000">
        <w:rPr>
          <w:rFonts w:ascii="Arial" w:cs="Arial" w:eastAsia="Arial" w:hAnsi="Arial"/>
          <w:i w:val="1"/>
          <w:sz w:val="20"/>
          <w:szCs w:val="20"/>
          <w:highlight w:val="white"/>
          <w:rtl w:val="0"/>
        </w:rPr>
        <w:t xml:space="preserve">)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8">
        <w:r w:rsidDel="00000000" w:rsidR="00000000" w:rsidRPr="00000000">
          <w:rPr>
            <w:rFonts w:ascii="Arial" w:cs="Arial" w:eastAsia="Arial" w:hAnsi="Arial"/>
            <w:i w:val="1"/>
            <w:sz w:val="20"/>
            <w:szCs w:val="20"/>
            <w:highlight w:val="white"/>
            <w:rtl w:val="0"/>
          </w:rPr>
          <w:t xml:space="preserve"> </w:t>
        </w:r>
      </w:hyperlink>
      <w:hyperlink r:id="rId9">
        <w:r w:rsidDel="00000000" w:rsidR="00000000" w:rsidRPr="00000000">
          <w:rPr>
            <w:rFonts w:ascii="Arial" w:cs="Arial" w:eastAsia="Arial" w:hAnsi="Arial"/>
            <w:i w:val="1"/>
            <w:sz w:val="20"/>
            <w:szCs w:val="20"/>
            <w:highlight w:val="white"/>
            <w:u w:val="single"/>
            <w:rtl w:val="0"/>
          </w:rPr>
          <w:t xml:space="preserve">Toyota Global</w:t>
        </w:r>
      </w:hyperlink>
      <w:r w:rsidDel="00000000" w:rsidR="00000000" w:rsidRPr="00000000">
        <w:rPr>
          <w:rFonts w:ascii="Arial" w:cs="Arial" w:eastAsia="Arial" w:hAnsi="Arial"/>
          <w:i w:val="1"/>
          <w:sz w:val="20"/>
          <w:szCs w:val="20"/>
          <w:highlight w:val="white"/>
          <w:rtl w:val="0"/>
        </w:rPr>
        <w:t xml:space="preserve"> e</w:t>
      </w:r>
      <w:hyperlink r:id="rId10">
        <w:r w:rsidDel="00000000" w:rsidR="00000000" w:rsidRPr="00000000">
          <w:rPr>
            <w:rFonts w:ascii="Arial" w:cs="Arial" w:eastAsia="Arial" w:hAnsi="Arial"/>
            <w:i w:val="1"/>
            <w:sz w:val="20"/>
            <w:szCs w:val="20"/>
            <w:highlight w:val="white"/>
            <w:rtl w:val="0"/>
          </w:rPr>
          <w:t xml:space="preserve"> </w:t>
        </w:r>
      </w:hyperlink>
      <w:hyperlink r:id="rId11">
        <w:r w:rsidDel="00000000" w:rsidR="00000000" w:rsidRPr="00000000">
          <w:rPr>
            <w:rFonts w:ascii="Arial" w:cs="Arial" w:eastAsia="Arial" w:hAnsi="Arial"/>
            <w:i w:val="1"/>
            <w:sz w:val="20"/>
            <w:szCs w:val="20"/>
            <w:highlight w:val="white"/>
            <w:u w:val="single"/>
            <w:rtl w:val="0"/>
          </w:rPr>
          <w:t xml:space="preserve">Toyota do Brasil</w:t>
        </w:r>
      </w:hyperlink>
      <w:r w:rsidDel="00000000" w:rsidR="00000000" w:rsidRPr="00000000">
        <w:rPr>
          <w:rFonts w:ascii="Arial" w:cs="Arial" w:eastAsia="Arial" w:hAnsi="Arial"/>
          <w:i w:val="1"/>
          <w:sz w:val="20"/>
          <w:szCs w:val="20"/>
          <w:highlight w:val="white"/>
          <w:rtl w:val="0"/>
        </w:rPr>
        <w:t xml:space="preserve">.</w:t>
      </w:r>
    </w:p>
    <w:p w:rsidR="00000000" w:rsidDel="00000000" w:rsidP="00000000" w:rsidRDefault="00000000" w:rsidRPr="00000000" w14:paraId="0000000F">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Mais informações</w:t>
      </w:r>
    </w:p>
    <w:p w:rsidR="00000000" w:rsidDel="00000000" w:rsidP="00000000" w:rsidRDefault="00000000" w:rsidRPr="00000000" w14:paraId="00000010">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Toyota do Brasil – Departamento de Comunicação</w:t>
      </w:r>
    </w:p>
    <w:p w:rsidR="00000000" w:rsidDel="00000000" w:rsidP="00000000" w:rsidRDefault="00000000" w:rsidRPr="00000000" w14:paraId="00000011">
      <w:pPr>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Lilian Assis –</w:t>
      </w:r>
      <w:r w:rsidDel="00000000" w:rsidR="00000000" w:rsidRPr="00000000">
        <w:rPr>
          <w:rFonts w:ascii="Arial" w:cs="Arial" w:eastAsia="Arial" w:hAnsi="Arial"/>
          <w:color w:val="0000ff"/>
          <w:highlight w:val="white"/>
          <w:rtl w:val="0"/>
        </w:rPr>
        <w:t xml:space="preserve"> </w:t>
      </w:r>
      <w:hyperlink r:id="rId12">
        <w:r w:rsidDel="00000000" w:rsidR="00000000" w:rsidRPr="00000000">
          <w:rPr>
            <w:rFonts w:ascii="Arial" w:cs="Arial" w:eastAsia="Arial" w:hAnsi="Arial"/>
            <w:color w:val="0000ff"/>
            <w:highlight w:val="white"/>
            <w:u w:val="single"/>
            <w:rtl w:val="0"/>
          </w:rPr>
          <w:t xml:space="preserve">lassis@toyota.com.br</w:t>
        </w:r>
      </w:hyperlink>
      <w:r w:rsidDel="00000000" w:rsidR="00000000" w:rsidRPr="00000000">
        <w:rPr>
          <w:rtl w:val="0"/>
        </w:rPr>
      </w:r>
    </w:p>
    <w:p w:rsidR="00000000" w:rsidDel="00000000" w:rsidP="00000000" w:rsidRDefault="00000000" w:rsidRPr="00000000" w14:paraId="00000012">
      <w:pPr>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Kelly Buarque – </w:t>
      </w:r>
      <w:hyperlink r:id="rId13">
        <w:r w:rsidDel="00000000" w:rsidR="00000000" w:rsidRPr="00000000">
          <w:rPr>
            <w:rFonts w:ascii="Arial" w:cs="Arial" w:eastAsia="Arial" w:hAnsi="Arial"/>
            <w:color w:val="1155cc"/>
            <w:highlight w:val="white"/>
            <w:u w:val="single"/>
            <w:rtl w:val="0"/>
          </w:rPr>
          <w:t xml:space="preserve">kbuarque@toyota.com.br</w:t>
        </w:r>
      </w:hyperlink>
      <w:r w:rsidDel="00000000" w:rsidR="00000000" w:rsidRPr="00000000">
        <w:rPr>
          <w:rFonts w:ascii="Arial" w:cs="Arial" w:eastAsia="Arial" w:hAnsi="Arial"/>
          <w:highlight w:val="white"/>
          <w:u w:val="single"/>
          <w:rtl w:val="0"/>
        </w:rPr>
        <w:t xml:space="preserve"> </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3">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Kessia Santos – </w:t>
      </w:r>
      <w:hyperlink r:id="rId14">
        <w:r w:rsidDel="00000000" w:rsidR="00000000" w:rsidRPr="00000000">
          <w:rPr>
            <w:rFonts w:ascii="Arial" w:cs="Arial" w:eastAsia="Arial" w:hAnsi="Arial"/>
            <w:color w:val="1155cc"/>
            <w:highlight w:val="white"/>
            <w:u w:val="single"/>
            <w:rtl w:val="0"/>
          </w:rPr>
          <w:t xml:space="preserve">kosantos@toyota.com.br</w:t>
        </w:r>
      </w:hyperlink>
      <w:r w:rsidDel="00000000" w:rsidR="00000000" w:rsidRPr="00000000">
        <w:rPr>
          <w:rFonts w:ascii="Arial" w:cs="Arial" w:eastAsia="Arial" w:hAnsi="Arial"/>
          <w:highlight w:val="white"/>
          <w:u w:val="single"/>
          <w:rtl w:val="0"/>
        </w:rPr>
        <w:t xml:space="preserve"> </w:t>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14">
      <w:pPr>
        <w:spacing w:after="240" w:before="240" w:line="276" w:lineRule="auto"/>
        <w:jc w:val="both"/>
        <w:rPr>
          <w:rFonts w:ascii="Arial" w:cs="Arial" w:eastAsia="Arial" w:hAnsi="Arial"/>
          <w:b w:val="1"/>
          <w:color w:val="b0273b"/>
          <w:highlight w:val="white"/>
        </w:rPr>
      </w:pPr>
      <w:r w:rsidDel="00000000" w:rsidR="00000000" w:rsidRPr="00000000">
        <w:rPr>
          <w:rFonts w:ascii="Arial" w:cs="Arial" w:eastAsia="Arial" w:hAnsi="Arial"/>
          <w:b w:val="1"/>
          <w:color w:val="b0273b"/>
          <w:highlight w:val="white"/>
          <w:rtl w:val="0"/>
        </w:rPr>
        <w:t xml:space="preserve">RPMA Comunicação</w:t>
      </w:r>
    </w:p>
    <w:p w:rsidR="00000000" w:rsidDel="00000000" w:rsidP="00000000" w:rsidRDefault="00000000" w:rsidRPr="00000000" w14:paraId="00000015">
      <w:pPr>
        <w:spacing w:after="240" w:before="240" w:line="276" w:lineRule="auto"/>
        <w:jc w:val="both"/>
        <w:rPr>
          <w:rFonts w:ascii="Arial" w:cs="Arial" w:eastAsia="Arial" w:hAnsi="Arial"/>
          <w:color w:val="0000ff"/>
          <w:highlight w:val="white"/>
          <w:u w:val="single"/>
        </w:rPr>
      </w:pPr>
      <w:r w:rsidDel="00000000" w:rsidR="00000000" w:rsidRPr="00000000">
        <w:rPr>
          <w:rFonts w:ascii="Arial" w:cs="Arial" w:eastAsia="Arial" w:hAnsi="Arial"/>
          <w:color w:val="0000ff"/>
          <w:highlight w:val="white"/>
          <w:u w:val="single"/>
          <w:rtl w:val="0"/>
        </w:rPr>
        <w:t xml:space="preserve">toyota@rpmacomunicacao.com.br </w:t>
      </w:r>
    </w:p>
    <w:p w:rsidR="00000000" w:rsidDel="00000000" w:rsidP="00000000" w:rsidRDefault="00000000" w:rsidRPr="00000000" w14:paraId="00000016">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Guilherme Magna – (11) 98600-8988</w:t>
      </w:r>
    </w:p>
    <w:p w:rsidR="00000000" w:rsidDel="00000000" w:rsidP="00000000" w:rsidRDefault="00000000" w:rsidRPr="00000000" w14:paraId="00000017">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Leonardo de Araujo – (11) 96084-0473</w:t>
      </w:r>
    </w:p>
    <w:p w:rsidR="00000000" w:rsidDel="00000000" w:rsidP="00000000" w:rsidRDefault="00000000" w:rsidRPr="00000000" w14:paraId="00000018">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Henrique Carmo - (11) 98058-6298</w:t>
      </w:r>
    </w:p>
    <w:p w:rsidR="00000000" w:rsidDel="00000000" w:rsidP="00000000" w:rsidRDefault="00000000" w:rsidRPr="00000000" w14:paraId="00000019">
      <w:pPr>
        <w:spacing w:after="240" w:before="240" w:line="276" w:lineRule="auto"/>
        <w:jc w:val="both"/>
        <w:rPr>
          <w:rFonts w:ascii="Arial" w:cs="Arial" w:eastAsia="Arial" w:hAnsi="Arial"/>
          <w:sz w:val="24"/>
          <w:szCs w:val="24"/>
          <w:highlight w:val="yellow"/>
        </w:rPr>
      </w:pPr>
      <w:r w:rsidDel="00000000" w:rsidR="00000000" w:rsidRPr="00000000">
        <w:rPr>
          <w:rFonts w:ascii="Arial" w:cs="Arial" w:eastAsia="Arial" w:hAnsi="Arial"/>
          <w:b w:val="1"/>
          <w:color w:val="b0273b"/>
          <w:highlight w:val="white"/>
          <w:rtl w:val="0"/>
        </w:rPr>
        <w:t xml:space="preserve">Tel.: (11) 5501-4655</w:t>
      </w:r>
      <w:r w:rsidDel="00000000" w:rsidR="00000000" w:rsidRPr="00000000">
        <w:rPr>
          <w:rtl w:val="0"/>
        </w:rPr>
      </w:r>
    </w:p>
    <w:sectPr>
      <w:headerReference r:id="rId15" w:type="default"/>
      <w:headerReference r:id="rId16" w:type="first"/>
      <w:headerReference r:id="rId17" w:type="even"/>
      <w:footerReference r:id="rId18" w:type="default"/>
      <w:footerReference r:id="rId19"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-199988</wp:posOffset>
          </wp:positionV>
          <wp:extent cx="757237" cy="555307"/>
          <wp:effectExtent b="0" l="0" r="0" t="0"/>
          <wp:wrapSquare wrapText="bothSides" distB="114300" distT="114300" distL="114300" distR="114300"/>
          <wp:docPr id="24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-70437</wp:posOffset>
          </wp:positionH>
          <wp:positionV relativeFrom="paragraph">
            <wp:posOffset>-116146</wp:posOffset>
          </wp:positionV>
          <wp:extent cx="1468755" cy="467995"/>
          <wp:effectExtent b="0" l="0" r="0" t="0"/>
          <wp:wrapNone/>
          <wp:docPr id="23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2070100</wp:posOffset>
              </wp:positionH>
              <wp:positionV relativeFrom="paragraph">
                <wp:posOffset>0</wp:posOffset>
              </wp:positionV>
              <wp:extent cx="748665" cy="748665"/>
              <wp:effectExtent b="0" l="0" r="0" t="0"/>
              <wp:wrapSquare wrapText="bothSides" distB="0" distT="0" distL="0" distR="0"/>
              <wp:docPr descr="• PUBLIC 公開" id="238"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2070100</wp:posOffset>
              </wp:positionH>
              <wp:positionV relativeFrom="paragraph">
                <wp:posOffset>0</wp:posOffset>
              </wp:positionV>
              <wp:extent cx="748665" cy="748665"/>
              <wp:effectExtent b="0" l="0" r="0" t="0"/>
              <wp:wrapSquare wrapText="bothSides" distB="0" distT="0" distL="0" distR="0"/>
              <wp:docPr descr="• PUBLIC 公開" id="238"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748665" cy="74866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2070100</wp:posOffset>
              </wp:positionH>
              <wp:positionV relativeFrom="paragraph">
                <wp:posOffset>0</wp:posOffset>
              </wp:positionV>
              <wp:extent cx="748665" cy="748665"/>
              <wp:effectExtent b="0" l="0" r="0" t="0"/>
              <wp:wrapSquare wrapText="bothSides" distB="0" distT="0" distL="0" distR="0"/>
              <wp:docPr descr="• PUBLIC 公開" id="237"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2070100</wp:posOffset>
              </wp:positionH>
              <wp:positionV relativeFrom="paragraph">
                <wp:posOffset>0</wp:posOffset>
              </wp:positionV>
              <wp:extent cx="748665" cy="748665"/>
              <wp:effectExtent b="0" l="0" r="0" t="0"/>
              <wp:wrapSquare wrapText="bothSides" distB="0" distT="0" distL="0" distR="0"/>
              <wp:docPr descr="• PUBLIC 公開" id="237" name="image3.png"/>
              <a:graphic>
                <a:graphicData uri="http://schemas.openxmlformats.org/drawingml/2006/picture">
                  <pic:pic>
                    <pic:nvPicPr>
                      <pic:cNvPr descr="• PUBLIC 公開" id="0" name="image3.png"/>
                      <pic:cNvPicPr preferRelativeResize="0"/>
                    </pic:nvPicPr>
                    <pic:blipFill>
                      <a:blip r:embed="rId1"/>
                      <a:srcRect/>
                      <a:stretch>
                        <a:fillRect/>
                      </a:stretch>
                    </pic:blipFill>
                    <pic:spPr>
                      <a:xfrm>
                        <a:off x="0" y="0"/>
                        <a:ext cx="748665" cy="74866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table" w:styleId="TableNormalf4" w:customStyle="1">
    <w:name w:val="Table Normal"/>
    <w:tblPr>
      <w:tblCellMar>
        <w:top w:w="0.0" w:type="dxa"/>
        <w:left w:w="0.0" w:type="dxa"/>
        <w:bottom w:w="0.0" w:type="dxa"/>
        <w:right w:w="0.0" w:type="dxa"/>
      </w:tblCellMar>
    </w:tblPr>
  </w:style>
  <w:style w:type="table" w:styleId="TableNormalf5" w:customStyle="1">
    <w:name w:val="Table Normal"/>
    <w:tblPr>
      <w:tblCellMar>
        <w:top w:w="0.0" w:type="dxa"/>
        <w:left w:w="0.0" w:type="dxa"/>
        <w:bottom w:w="0.0" w:type="dxa"/>
        <w:right w:w="0.0" w:type="dxa"/>
      </w:tblCellMar>
    </w:tblPr>
  </w:style>
  <w:style w:type="table" w:styleId="TableNormalf6" w:customStyle="1">
    <w:name w:val="Table Normal"/>
    <w:tblPr>
      <w:tblCellMar>
        <w:top w:w="0.0" w:type="dxa"/>
        <w:left w:w="0.0" w:type="dxa"/>
        <w:bottom w:w="0.0" w:type="dxa"/>
        <w:right w:w="0.0" w:type="dxa"/>
      </w:tblCellMar>
    </w:tblPr>
  </w:style>
  <w:style w:type="table" w:styleId="TableNormalf7" w:customStyle="1">
    <w:name w:val="Table Normal"/>
    <w:tblPr>
      <w:tblCellMar>
        <w:top w:w="0.0" w:type="dxa"/>
        <w:left w:w="0.0" w:type="dxa"/>
        <w:bottom w:w="0.0" w:type="dxa"/>
        <w:right w:w="0.0" w:type="dxa"/>
      </w:tblCellMar>
    </w:tblPr>
  </w:style>
  <w:style w:type="table" w:styleId="TableNormalf8" w:customStyle="1">
    <w:name w:val="Table Normal"/>
    <w:tblPr>
      <w:tblCellMar>
        <w:top w:w="0.0" w:type="dxa"/>
        <w:left w:w="0.0" w:type="dxa"/>
        <w:bottom w:w="0.0" w:type="dxa"/>
        <w:right w:w="0.0" w:type="dxa"/>
      </w:tblCellMar>
    </w:tblPr>
  </w:style>
  <w:style w:type="table" w:styleId="TableNormalf9" w:customStyle="1">
    <w:name w:val="Table Normal"/>
    <w:tblPr>
      <w:tblCellMar>
        <w:top w:w="0.0" w:type="dxa"/>
        <w:left w:w="0.0" w:type="dxa"/>
        <w:bottom w:w="0.0" w:type="dxa"/>
        <w:right w:w="0.0" w:type="dxa"/>
      </w:tblCellMar>
    </w:tblPr>
  </w:style>
  <w:style w:type="table" w:styleId="TableNormalfa" w:customStyle="1">
    <w:name w:val="Table Normal"/>
    <w:tblPr>
      <w:tblCellMar>
        <w:top w:w="0.0" w:type="dxa"/>
        <w:left w:w="0.0" w:type="dxa"/>
        <w:bottom w:w="0.0" w:type="dxa"/>
        <w:right w:w="0.0" w:type="dxa"/>
      </w:tblCellMar>
    </w:tblPr>
  </w:style>
  <w:style w:type="table" w:styleId="TableNormalfb" w:customStyle="1">
    <w:name w:val="Table Normal"/>
    <w:tblPr>
      <w:tblCellMar>
        <w:top w:w="0.0" w:type="dxa"/>
        <w:left w:w="0.0" w:type="dxa"/>
        <w:bottom w:w="0.0" w:type="dxa"/>
        <w:right w:w="0.0" w:type="dxa"/>
      </w:tblCellMar>
    </w:tblPr>
  </w:style>
  <w:style w:type="table" w:styleId="TableNormalfc" w:customStyle="1">
    <w:name w:val="Table Normal"/>
    <w:tblPr>
      <w:tblCellMar>
        <w:top w:w="0.0" w:type="dxa"/>
        <w:left w:w="0.0" w:type="dxa"/>
        <w:bottom w:w="0.0" w:type="dxa"/>
        <w:right w:w="0.0" w:type="dxa"/>
      </w:tblCellMar>
    </w:tblPr>
  </w:style>
  <w:style w:type="table" w:styleId="TableNormalfd" w:customStyle="1">
    <w:name w:val="Table Normal"/>
    <w:tblPr>
      <w:tblCellMar>
        <w:top w:w="0.0" w:type="dxa"/>
        <w:left w:w="0.0" w:type="dxa"/>
        <w:bottom w:w="0.0" w:type="dxa"/>
        <w:right w:w="0.0" w:type="dxa"/>
      </w:tblCellMar>
    </w:tblPr>
  </w:style>
  <w:style w:type="table" w:styleId="TableNormalfe" w:customStyle="1">
    <w:name w:val="Table Normal"/>
    <w:tblPr>
      <w:tblCellMar>
        <w:top w:w="0.0" w:type="dxa"/>
        <w:left w:w="0.0" w:type="dxa"/>
        <w:bottom w:w="0.0" w:type="dxa"/>
        <w:right w:w="0.0" w:type="dxa"/>
      </w:tblCellMar>
    </w:tblPr>
  </w:style>
  <w:style w:type="table" w:styleId="TableNormalff" w:customStyle="1">
    <w:name w:val="Table Normal"/>
    <w:tblPr>
      <w:tblCellMar>
        <w:top w:w="0.0" w:type="dxa"/>
        <w:left w:w="0.0" w:type="dxa"/>
        <w:bottom w:w="0.0" w:type="dxa"/>
        <w:right w:w="0.0" w:type="dxa"/>
      </w:tblCellMar>
    </w:tblPr>
  </w:style>
  <w:style w:type="table" w:styleId="TableNormalff0" w:customStyle="1">
    <w:name w:val="Table Normal"/>
    <w:tblPr>
      <w:tblCellMar>
        <w:top w:w="0.0" w:type="dxa"/>
        <w:left w:w="0.0" w:type="dxa"/>
        <w:bottom w:w="0.0" w:type="dxa"/>
        <w:right w:w="0.0" w:type="dxa"/>
      </w:tblCellMar>
    </w:tblPr>
  </w:style>
  <w:style w:type="table" w:styleId="TableNormalff1" w:customStyle="1">
    <w:name w:val="Table Normal"/>
    <w:tblPr>
      <w:tblCellMar>
        <w:top w:w="0.0" w:type="dxa"/>
        <w:left w:w="0.0" w:type="dxa"/>
        <w:bottom w:w="0.0" w:type="dxa"/>
        <w:right w:w="0.0" w:type="dxa"/>
      </w:tblCellMar>
    </w:tblPr>
  </w:style>
  <w:style w:type="table" w:styleId="TableNormalff2" w:customStyle="1">
    <w:name w:val="Table Normal"/>
    <w:tblPr>
      <w:tblCellMar>
        <w:top w:w="0.0" w:type="dxa"/>
        <w:left w:w="0.0" w:type="dxa"/>
        <w:bottom w:w="0.0" w:type="dxa"/>
        <w:right w:w="0.0" w:type="dxa"/>
      </w:tblCellMar>
    </w:tblPr>
  </w:style>
  <w:style w:type="table" w:styleId="TableNormalff3" w:customStyle="1">
    <w:name w:val="Table Normal"/>
    <w:tblPr>
      <w:tblCellMar>
        <w:top w:w="0.0" w:type="dxa"/>
        <w:left w:w="0.0" w:type="dxa"/>
        <w:bottom w:w="0.0" w:type="dxa"/>
        <w:right w:w="0.0" w:type="dxa"/>
      </w:tblCellMar>
    </w:tblPr>
  </w:style>
  <w:style w:type="table" w:styleId="TableNormalff4" w:customStyle="1">
    <w:name w:val="Table Normal"/>
    <w:tblPr>
      <w:tblCellMar>
        <w:top w:w="0.0" w:type="dxa"/>
        <w:left w:w="0.0" w:type="dxa"/>
        <w:bottom w:w="0.0" w:type="dxa"/>
        <w:right w:w="0.0" w:type="dxa"/>
      </w:tblCellMar>
    </w:tblPr>
  </w:style>
  <w:style w:type="table" w:styleId="TableNormalff5" w:customStyle="1">
    <w:name w:val="Table Normal"/>
    <w:tblPr>
      <w:tblCellMar>
        <w:top w:w="0.0" w:type="dxa"/>
        <w:left w:w="0.0" w:type="dxa"/>
        <w:bottom w:w="0.0" w:type="dxa"/>
        <w:right w:w="0.0" w:type="dxa"/>
      </w:tblCellMar>
    </w:tblPr>
  </w:style>
  <w:style w:type="table" w:styleId="TableNormalff6" w:customStyle="1">
    <w:name w:val="Table Normal"/>
    <w:tblPr>
      <w:tblCellMar>
        <w:top w:w="0.0" w:type="dxa"/>
        <w:left w:w="0.0" w:type="dxa"/>
        <w:bottom w:w="0.0" w:type="dxa"/>
        <w:right w:w="0.0" w:type="dxa"/>
      </w:tblCellMar>
    </w:tblPr>
  </w:style>
  <w:style w:type="table" w:styleId="TableNormalff7" w:customStyle="1">
    <w:name w:val="Table Normal"/>
    <w:tblPr>
      <w:tblCellMar>
        <w:top w:w="0.0" w:type="dxa"/>
        <w:left w:w="0.0" w:type="dxa"/>
        <w:bottom w:w="0.0" w:type="dxa"/>
        <w:right w:w="0.0" w:type="dxa"/>
      </w:tblCellMar>
    </w:tblPr>
  </w:style>
  <w:style w:type="table" w:styleId="TableNormalff8" w:customStyle="1">
    <w:name w:val="Table Normal"/>
    <w:tblPr>
      <w:tblCellMar>
        <w:top w:w="0.0" w:type="dxa"/>
        <w:left w:w="0.0" w:type="dxa"/>
        <w:bottom w:w="0.0" w:type="dxa"/>
        <w:right w:w="0.0" w:type="dxa"/>
      </w:tblCellMar>
    </w:tblPr>
  </w:style>
  <w:style w:type="table" w:styleId="TableNormalff9" w:customStyle="1">
    <w:name w:val="Table Normal"/>
    <w:tblPr>
      <w:tblCellMar>
        <w:top w:w="0.0" w:type="dxa"/>
        <w:left w:w="0.0" w:type="dxa"/>
        <w:bottom w:w="0.0" w:type="dxa"/>
        <w:right w:w="0.0" w:type="dxa"/>
      </w:tblCellMar>
    </w:tblPr>
  </w:style>
  <w:style w:type="table" w:styleId="TableNormalffa" w:customStyle="1">
    <w:name w:val="Table Normal"/>
    <w:tblPr>
      <w:tblCellMar>
        <w:top w:w="0.0" w:type="dxa"/>
        <w:left w:w="0.0" w:type="dxa"/>
        <w:bottom w:w="0.0" w:type="dxa"/>
        <w:right w:w="0.0" w:type="dxa"/>
      </w:tblCellMar>
    </w:tblPr>
  </w:style>
  <w:style w:type="table" w:styleId="TableNormalffb" w:customStyle="1">
    <w:name w:val="Table Normal"/>
    <w:tblPr>
      <w:tblCellMar>
        <w:top w:w="0.0" w:type="dxa"/>
        <w:left w:w="0.0" w:type="dxa"/>
        <w:bottom w:w="0.0" w:type="dxa"/>
        <w:right w:w="0.0" w:type="dxa"/>
      </w:tblCellMar>
    </w:tblPr>
  </w:style>
  <w:style w:type="table" w:styleId="TableNormalffc" w:customStyle="1">
    <w:name w:val="Table Normal"/>
    <w:tblPr>
      <w:tblCellMar>
        <w:top w:w="0.0" w:type="dxa"/>
        <w:left w:w="0.0" w:type="dxa"/>
        <w:bottom w:w="0.0" w:type="dxa"/>
        <w:right w:w="0.0" w:type="dxa"/>
      </w:tblCellMar>
    </w:tblPr>
  </w:style>
  <w:style w:type="table" w:styleId="TableNormalffd" w:customStyle="1">
    <w:name w:val="Table Normal"/>
    <w:tblPr>
      <w:tblCellMar>
        <w:top w:w="0.0" w:type="dxa"/>
        <w:left w:w="0.0" w:type="dxa"/>
        <w:bottom w:w="0.0" w:type="dxa"/>
        <w:right w:w="0.0" w:type="dxa"/>
      </w:tblCellMar>
    </w:tblPr>
  </w:style>
  <w:style w:type="table" w:styleId="TableNormalffe"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paragraph" w:styleId="paragraph" w:customStyle="1">
    <w:name w:val="paragraph"/>
    <w:basedOn w:val="Normal"/>
    <w:rsid w:val="00556850"/>
    <w:pPr>
      <w:spacing w:after="100" w:afterAutospacing="1" w:before="100" w:beforeAutospacing="1" w:line="240" w:lineRule="auto"/>
    </w:pPr>
    <w:rPr>
      <w:rFonts w:eastAsiaTheme="minorHAnsi"/>
    </w:rPr>
  </w:style>
  <w:style w:type="character" w:styleId="eop" w:customStyle="1">
    <w:name w:val="eop"/>
    <w:basedOn w:val="Fontepargpadro"/>
    <w:rsid w:val="00556850"/>
  </w:style>
  <w:style w:type="character" w:styleId="normaltextrun" w:customStyle="1">
    <w:name w:val="normaltextrun"/>
    <w:basedOn w:val="Fontepargpadro"/>
    <w:rsid w:val="00556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oyota.com.br" TargetMode="External"/><Relationship Id="rId10" Type="http://schemas.openxmlformats.org/officeDocument/2006/relationships/hyperlink" Target="https://www.toyota.com.br" TargetMode="External"/><Relationship Id="rId13" Type="http://schemas.openxmlformats.org/officeDocument/2006/relationships/hyperlink" Target="mailto:kbuarque@toyota.com.br" TargetMode="External"/><Relationship Id="rId12" Type="http://schemas.openxmlformats.org/officeDocument/2006/relationships/hyperlink" Target="mailto:lassis@toyota.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yota-global.com" TargetMode="External"/><Relationship Id="rId15" Type="http://schemas.openxmlformats.org/officeDocument/2006/relationships/header" Target="header1.xml"/><Relationship Id="rId14" Type="http://schemas.openxmlformats.org/officeDocument/2006/relationships/hyperlink" Target="mailto:kosantos@toyota.com.br"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toyotabrasil.gupy.io/jobs/5339560?jobBoardSource=gupy_public_page" TargetMode="External"/><Relationship Id="rId8" Type="http://schemas.openxmlformats.org/officeDocument/2006/relationships/hyperlink" Target="https://www.toyota-glob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6oLI2KL4ACNaeuFXWFnFmkpuTQ==">CgMxLjA4AHIhMWlnS1RjYmhsTVg3cDlsZ1RoM2h5RTRlbGk2Q2pCendi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2023-08-29T21:05:00Z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2022-06-01T17:14:08Z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99fc1fa2-5bfd-4d6d-900e-54aa88779821</vt:lpwstr>
  </property>
  <property fmtid="{D5CDD505-2E9C-101B-9397-08002B2CF9AE}" pid="11" name="MSIP_Label_023e975b-7b34-49da-9033-9c8f8f7bcde3_ContentBits">
    <vt:lpwstr>1</vt:lpwstr>
  </property>
</Properties>
</file>