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Stock Car: TOYOTA GAZOO Racing garante vitória com Cesar Ramos em Goiânia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Fabricante vê ainda Nelson Piquet Jr. completar 1-2 na primeira corrida do dia, enquanto Rubens Barrichello sobe ao pódio com terceiro lugar no fechamento da etapa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TOYOTA GAZOO Racing garantiu uma dobradinha na sétima etapa da Stock Car, disputada neste domingo (27) no anel externo do Autódromo Internacional Ayrton Senna, em Goiânia (GO). Depois de conquistar a pole position no sábado, Cesar Ramos saiu com a vitória na primeira corrida do dia, que ainda contou com Nelson Piquet Jr. com a segunda colocação.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Ramos e Piquet Jr. protagonizaram a primeira corrida. O piloto do Toyota Corolla número 30 liderou a maior parte da prova, mas teve que conter os ataques do adversário na parte final da corrida, garantindo a vitória por uma margem de 0s514. O piloto celebrou a vitória e dedicou o triunfo ao proprietário da concessionária Lince Toyota na capital goiana.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“Foi uma vitória muito suada. Abri vantagem no meio da corrida, mas o Nelsinho tinha um ritmo melhor. Foi muito difícil me manter na frente, tive que gastar todos os pushs. Optei por fazer uma parada econômica e parei cedo para evitar que um Safety Car entrasse e acabasse com a nossa corrida. Agradeço a todos da equipe, que fizeram um trabalho fantástico”, disse Ramos, após a corrida.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“Agradeço também a Toyota, que é uma grande parceira nossa. A gente sempre faz uma ação nas concessionárias locais e uma das parceiras nossas é a Lince, que tem como um dos sócios o Sr Marcos Spenciere, um grande cara, e que tem o jeito muito parecido com o meu pai. Estava com ele no evento e soube da perda de seu filho recentemente. Ele me deu um abraço paterno, me senti emocionado e disse que ganharia a corrida para dedicar a ele. Fiz o meu papel e, com certeza, ele abençoou isso”, completou Ramos.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Além da dobradinha na primeira corrida do dia, a TOYOTA GAZOO Racing garantiu também um pódio na segunda prova. Rubens Barrichello fez uma estratégia pensando na segunda disputa do dia e garantiu a terceira colocação da prova.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próxima etapa da Stock Car está marcada para o dia 17 de setembro no Velopark, em Nova Santa Rita (RS).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13">
      <w:pPr>
        <w:spacing w:after="16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highlight w:val="white"/>
        </w:rPr>
      </w:pPr>
      <w:bookmarkStart w:colFirst="0" w:colLast="0" w:name="_heading=h.r2m4plfj5x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7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Lilian Assis –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8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color w:val="b0273b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B">
      <w:pPr>
        <w:spacing w:line="360" w:lineRule="auto"/>
        <w:rPr>
          <w:color w:val="0000ff"/>
          <w:highlight w:val="white"/>
          <w:u w:val="single"/>
        </w:rPr>
      </w:pPr>
      <w:r w:rsidDel="00000000" w:rsidR="00000000" w:rsidRPr="00000000">
        <w:rPr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E">
      <w:pPr>
        <w:spacing w:line="3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color w:val="1f497d"/>
          <w:sz w:val="24"/>
          <w:szCs w:val="24"/>
        </w:rPr>
      </w:pPr>
      <w:r w:rsidDel="00000000" w:rsidR="00000000" w:rsidRPr="00000000">
        <w:rPr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67690" cy="567690"/>
              <wp:effectExtent b="0" l="0" r="0" t="0"/>
              <wp:wrapNone/>
              <wp:docPr descr="• PUBLIC 公開" id="7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67690" cy="567690"/>
              <wp:effectExtent b="0" l="0" r="0" t="0"/>
              <wp:wrapNone/>
              <wp:docPr descr="• PUBLIC 公開" id="79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" cy="567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-280973</wp:posOffset>
          </wp:positionV>
          <wp:extent cx="1985963" cy="603733"/>
          <wp:effectExtent b="0" l="0" r="0" t="0"/>
          <wp:wrapNone/>
          <wp:docPr id="81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-200010</wp:posOffset>
          </wp:positionV>
          <wp:extent cx="1581150" cy="438150"/>
          <wp:effectExtent b="0" l="0" r="0" t="0"/>
          <wp:wrapNone/>
          <wp:docPr id="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67690" cy="567690"/>
              <wp:effectExtent b="0" l="0" r="0" t="0"/>
              <wp:wrapNone/>
              <wp:docPr descr="• PUBLIC 公開" id="7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67690" cy="567690"/>
              <wp:effectExtent b="0" l="0" r="0" t="0"/>
              <wp:wrapNone/>
              <wp:docPr descr="• PUBLIC 公開" id="78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" cy="567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67690" cy="567690"/>
              <wp:effectExtent b="0" l="0" r="0" t="0"/>
              <wp:wrapNone/>
              <wp:docPr descr="• PUBLIC 公開" id="8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67690" cy="567690"/>
              <wp:effectExtent b="0" l="0" r="0" t="0"/>
              <wp:wrapNone/>
              <wp:docPr descr="• PUBLIC 公開" id="80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" cy="567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table" w:styleId="a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0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D74C0"/>
    <w:pPr>
      <w:ind w:left="720"/>
      <w:contextualSpacing w:val="1"/>
    </w:p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iPriority w:val="99"/>
    <w:semiHidden w:val="1"/>
    <w:unhideWhenUsed w:val="1"/>
    <w:rsid w:val="00977B6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977B6C"/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sis@toyota.com.br" TargetMode="External"/><Relationship Id="rId8" Type="http://schemas.openxmlformats.org/officeDocument/2006/relationships/hyperlink" Target="mailto:kosantos@toyota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jp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F7fWUKUh4W+6i/Du222u501gDQ==">CgMxLjAyDmgucjJtNHBsZmo1eDY5MghoLmdqZGd4czgAciExM0xOaDdtak9MR2hDWW0yZXVvTUUyQWtHcUd6VEl4MGQ=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2023-08-23T17:07:00Z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