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before="240" w:line="360" w:lineRule="auto"/>
        <w:ind w:left="720" w:firstLine="0"/>
        <w:jc w:val="center"/>
        <w:rPr>
          <w:rFonts w:ascii="Arial" w:cs="Arial" w:eastAsia="Arial" w:hAnsi="Arial"/>
          <w:i w:val="1"/>
          <w:sz w:val="24"/>
          <w:szCs w:val="24"/>
        </w:rPr>
      </w:pPr>
      <w:r w:rsidDel="00000000" w:rsidR="00000000" w:rsidRPr="00000000">
        <w:rPr>
          <w:rFonts w:ascii="Arial" w:cs="Arial" w:eastAsia="Arial" w:hAnsi="Arial"/>
          <w:b w:val="1"/>
          <w:sz w:val="28"/>
          <w:szCs w:val="28"/>
          <w:rtl w:val="0"/>
        </w:rPr>
        <w:t xml:space="preserve">Brasileira se destaca na 16ª edição do Concurso Mundial “Carro dos Sonhos” da Toyota</w:t>
      </w:r>
      <w:r w:rsidDel="00000000" w:rsidR="00000000" w:rsidRPr="00000000">
        <w:rPr>
          <w:rtl w:val="0"/>
        </w:rPr>
      </w:r>
    </w:p>
    <w:p w:rsidR="00000000" w:rsidDel="00000000" w:rsidP="00000000" w:rsidRDefault="00000000" w:rsidRPr="00000000" w14:paraId="00000003">
      <w:pPr>
        <w:numPr>
          <w:ilvl w:val="0"/>
          <w:numId w:val="1"/>
        </w:numPr>
        <w:spacing w:after="0" w:before="240" w:line="360"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i w:val="1"/>
          <w:sz w:val="24"/>
          <w:szCs w:val="24"/>
          <w:rtl w:val="0"/>
        </w:rPr>
        <w:t xml:space="preserve">Jovem de 12 anos conquista reconhecimento global com sua criação artística</w:t>
      </w:r>
      <w:r w:rsidDel="00000000" w:rsidR="00000000" w:rsidRPr="00000000">
        <w:rPr>
          <w:rtl w:val="0"/>
        </w:rPr>
      </w:r>
    </w:p>
    <w:p w:rsidR="00000000" w:rsidDel="00000000" w:rsidP="00000000" w:rsidRDefault="00000000" w:rsidRPr="00000000" w14:paraId="00000004">
      <w:pPr>
        <w:spacing w:after="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Pr>
        <w:drawing>
          <wp:inline distB="114300" distT="114300" distL="114300" distR="114300">
            <wp:extent cx="5399730" cy="4051300"/>
            <wp:effectExtent b="0" l="0" r="0" t="0"/>
            <wp:docPr id="20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399730" cy="40513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before="240" w:line="360" w:lineRule="auto"/>
        <w:jc w:val="center"/>
        <w:rPr>
          <w:rFonts w:ascii="Arial" w:cs="Arial" w:eastAsia="Arial" w:hAnsi="Arial"/>
          <w:i w:val="1"/>
          <w:sz w:val="20"/>
          <w:szCs w:val="20"/>
          <w:highlight w:val="white"/>
        </w:rPr>
      </w:pPr>
      <w:r w:rsidDel="00000000" w:rsidR="00000000" w:rsidRPr="00000000">
        <w:rPr>
          <w:rFonts w:ascii="Arial" w:cs="Arial" w:eastAsia="Arial" w:hAnsi="Arial"/>
          <w:i w:val="1"/>
          <w:sz w:val="20"/>
          <w:szCs w:val="20"/>
          <w:rtl w:val="0"/>
        </w:rPr>
        <w:t xml:space="preserve">Maria </w:t>
      </w:r>
      <w:r w:rsidDel="00000000" w:rsidR="00000000" w:rsidRPr="00000000">
        <w:rPr>
          <w:rFonts w:ascii="Arial" w:cs="Arial" w:eastAsia="Arial" w:hAnsi="Arial"/>
          <w:i w:val="1"/>
          <w:sz w:val="20"/>
          <w:szCs w:val="20"/>
          <w:highlight w:val="white"/>
          <w:rtl w:val="0"/>
        </w:rPr>
        <w:t xml:space="preserve">Vitória, 12 anos, elaborou o desenho Estrada para Felicidade </w:t>
      </w:r>
    </w:p>
    <w:p w:rsidR="00000000" w:rsidDel="00000000" w:rsidP="00000000" w:rsidRDefault="00000000" w:rsidRPr="00000000" w14:paraId="00000006">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SÃO PAULO, agosto de 2023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Em uma competição internacional que atraiu mais de 780 mil inscrições de 90 países e regiões, uma jovem brasileira de 12 anos chamada Maria Vitória Germano Soares, de Teresina, no Piauí, conquistou um lugar entre os finalistas. Seu desenho, intitulado "Estrada para felicidade", retrata um carro que espalha felicidade por onde passa. Maria descreve seu projeto dizendo que "quem anda nele, além de se tornar mais feliz, passa a carregar sentimentos bons". </w:t>
      </w:r>
    </w:p>
    <w:p w:rsidR="00000000" w:rsidDel="00000000" w:rsidP="00000000" w:rsidRDefault="00000000" w:rsidRPr="00000000" w14:paraId="00000007">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Concurso Mundial Carro dos Sonhos, promovido pela Toyota Motor Corporation, começou em 2004 e tem sido um portal para as mentes criativas de crianças do mundo todo. Os desenhos premiados neste concurso são primeiramente selecionados em concursos nacionais. O júri para esta etapa mundial inclui representantes da Toyota e especialistas do setor automobilístico e das artes.</w:t>
      </w:r>
    </w:p>
    <w:p w:rsidR="00000000" w:rsidDel="00000000" w:rsidP="00000000" w:rsidRDefault="00000000" w:rsidRPr="00000000" w14:paraId="00000008">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os juízes, os desenhos refletem as preocupações e esperanças das crianças em todo o mundo. Temas como carros solares, cuidado com idosos, COVID-19, guerra e destruição ambiental foram frequentemente abordados. Durante o processo de avaliação, os juízes focaram na originalidade e sinceridade de cada peça, garantindo que cada criança expressasse suas ideias livremente.</w:t>
      </w:r>
    </w:p>
    <w:p w:rsidR="00000000" w:rsidDel="00000000" w:rsidP="00000000" w:rsidRDefault="00000000" w:rsidRPr="00000000" w14:paraId="00000009">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Otacílio do Nascimento, gerente de Comunicação Corporativa da Toyota do Brasil, expressa sua gratidão. "Gostaríamos de agradecer a todos os participantes por compartilharem suas incríveis criações conosco. Em especial, um agradecimento à Maria Vitória por sua contribuição inspiradora e seu conceito inovador de um carro que espalha felicidade. É o talento e a imaginação de cada um de vocês que fazem esse concurso ser tão valioso".</w:t>
      </w:r>
    </w:p>
    <w:p w:rsidR="00000000" w:rsidDel="00000000" w:rsidP="00000000" w:rsidRDefault="00000000" w:rsidRPr="00000000" w14:paraId="0000000A">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Aqui no Brasil, o concurso foi realizado entre outubro de 2022 e janeiro de 2023,  e contou com </w:t>
      </w:r>
      <w:r w:rsidDel="00000000" w:rsidR="00000000" w:rsidRPr="00000000">
        <w:rPr>
          <w:rFonts w:ascii="Arial" w:cs="Arial" w:eastAsia="Arial" w:hAnsi="Arial"/>
          <w:sz w:val="24"/>
          <w:szCs w:val="24"/>
          <w:rtl w:val="0"/>
        </w:rPr>
        <w:t xml:space="preserve">442</w:t>
      </w:r>
      <w:r w:rsidDel="00000000" w:rsidR="00000000" w:rsidRPr="00000000">
        <w:rPr>
          <w:rFonts w:ascii="Arial" w:cs="Arial" w:eastAsia="Arial" w:hAnsi="Arial"/>
          <w:sz w:val="24"/>
          <w:szCs w:val="24"/>
          <w:rtl w:val="0"/>
        </w:rPr>
        <w:t xml:space="preserve"> participantes</w:t>
      </w:r>
      <w:r w:rsidDel="00000000" w:rsidR="00000000" w:rsidRPr="00000000">
        <w:rPr>
          <w:rFonts w:ascii="Arial" w:cs="Arial" w:eastAsia="Arial" w:hAnsi="Arial"/>
          <w:sz w:val="24"/>
          <w:szCs w:val="24"/>
          <w:rtl w:val="0"/>
        </w:rPr>
        <w:t xml:space="preserve">, incluindo a jovem Maria Vitória. </w:t>
      </w:r>
    </w:p>
    <w:p w:rsidR="00000000" w:rsidDel="00000000" w:rsidP="00000000" w:rsidRDefault="00000000" w:rsidRPr="00000000" w14:paraId="0000000B">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fim, vale destacar que os Grand Prizes deste ano foram para crianças do Cazaquistão, Nigéria e Polônia. Esses “Grand Prizes" são atribuídos a desenhos que exemplificam de maneira excepcional a imaginação, criatividade e visão de um "Carro dos Sonhos". A Toyota planeja realizar cerimônias de premiação em cada país vencedor-</w:t>
      </w:r>
    </w:p>
    <w:p w:rsidR="00000000" w:rsidDel="00000000" w:rsidP="00000000" w:rsidRDefault="00000000" w:rsidRPr="00000000" w14:paraId="0000000C">
      <w:pPr>
        <w:spacing w:after="240" w:before="240" w:line="360" w:lineRule="auto"/>
        <w:jc w:val="both"/>
        <w:rPr>
          <w:rFonts w:ascii="Arial" w:cs="Arial" w:eastAsia="Arial" w:hAnsi="Arial"/>
          <w:sz w:val="24"/>
          <w:szCs w:val="24"/>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Objetivos de Desenvolvimento Sustentável</w:t>
      </w:r>
    </w:p>
    <w:p w:rsidR="00000000" w:rsidDel="00000000" w:rsidP="00000000" w:rsidRDefault="00000000" w:rsidRPr="00000000" w14:paraId="0000000E">
      <w:pPr>
        <w:spacing w:after="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 divulgação deste material colabora diretamente para os seguintes Objetivos de Desenvolvimento Sustentável (ODS) da ONU:</w:t>
      </w:r>
    </w:p>
    <w:p w:rsidR="00000000" w:rsidDel="00000000" w:rsidP="00000000" w:rsidRDefault="00000000" w:rsidRPr="00000000" w14:paraId="0000000F">
      <w:pPr>
        <w:spacing w:after="240" w:before="240" w:line="360" w:lineRule="auto"/>
        <w:jc w:val="both"/>
        <w:rPr>
          <w:rFonts w:ascii="Arial" w:cs="Arial" w:eastAsia="Arial" w:hAnsi="Arial"/>
          <w:highlight w:val="white"/>
        </w:rPr>
      </w:pPr>
      <w:r w:rsidDel="00000000" w:rsidR="00000000" w:rsidRPr="00000000">
        <w:rPr/>
        <w:drawing>
          <wp:inline distB="0" distT="0" distL="0" distR="0">
            <wp:extent cx="1032935" cy="1025040"/>
            <wp:effectExtent b="0" l="0" r="0" t="0"/>
            <wp:docPr id="20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32935" cy="1025040"/>
                    </a:xfrm>
                    <a:prstGeom prst="rect"/>
                    <a:ln/>
                  </pic:spPr>
                </pic:pic>
              </a:graphicData>
            </a:graphic>
          </wp:inline>
        </w:drawing>
      </w:r>
      <w:r w:rsidDel="00000000" w:rsidR="00000000" w:rsidRPr="00000000">
        <w:rPr>
          <w:rFonts w:ascii="Arial" w:cs="Arial" w:eastAsia="Arial" w:hAnsi="Arial"/>
          <w:highlight w:val="white"/>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_____________________________________________________________</w:t>
      </w:r>
    </w:p>
    <w:p w:rsidR="00000000" w:rsidDel="00000000" w:rsidP="00000000" w:rsidRDefault="00000000" w:rsidRPr="00000000" w14:paraId="00000011">
      <w:pPr>
        <w:spacing w:after="0" w:line="360" w:lineRule="auto"/>
        <w:jc w:val="both"/>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Sobre a Toyota do Brasil</w:t>
      </w: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i w:val="1"/>
          <w:color w:val="222222"/>
          <w:sz w:val="20"/>
          <w:szCs w:val="20"/>
          <w:highlight w:val="white"/>
        </w:rPr>
      </w:pPr>
      <w:r w:rsidDel="00000000" w:rsidR="00000000" w:rsidRPr="00000000">
        <w:rPr>
          <w:rFonts w:ascii="Arial" w:cs="Arial" w:eastAsia="Arial" w:hAnsi="Arial"/>
          <w:i w:val="1"/>
          <w:color w:val="222222"/>
          <w:sz w:val="20"/>
          <w:szCs w:val="20"/>
          <w:highlight w:val="white"/>
          <w:rtl w:val="0"/>
        </w:rPr>
        <w:t xml:space="preserve">A Toyota do Brasil está presente no País há 65 anos. Possui quatro unidades produtivas, localizadas em Indaiatuba, Sorocaba, Porto Feliz e São Bernardo do Campo, todas no Estado de São Paulo, e emprega cerca de seis mil pessoas.</w:t>
      </w:r>
    </w:p>
    <w:p w:rsidR="00000000" w:rsidDel="00000000" w:rsidP="00000000" w:rsidRDefault="00000000" w:rsidRPr="00000000" w14:paraId="00000013">
      <w:pPr>
        <w:spacing w:after="0" w:line="240" w:lineRule="auto"/>
        <w:jc w:val="both"/>
        <w:rPr>
          <w:rFonts w:ascii="Arial" w:cs="Arial" w:eastAsia="Arial" w:hAnsi="Arial"/>
          <w:i w:val="1"/>
          <w:color w:val="222222"/>
          <w:sz w:val="20"/>
          <w:szCs w:val="20"/>
          <w:highlight w:val="white"/>
        </w:rPr>
      </w:pPr>
      <w:r w:rsidDel="00000000" w:rsidR="00000000" w:rsidRPr="00000000">
        <w:rPr>
          <w:rFonts w:ascii="Arial" w:cs="Arial" w:eastAsia="Arial" w:hAnsi="Arial"/>
          <w:i w:val="1"/>
          <w:color w:val="222222"/>
          <w:sz w:val="20"/>
          <w:szCs w:val="20"/>
          <w:highlight w:val="white"/>
          <w:rtl w:val="0"/>
        </w:rPr>
        <w:t xml:space="preserve">A Toyota é a montadora líder em eletrificação no mundo: desde 1997 já foram comercializados mais de 20 milhões de automóveis mais limpos, sejam modelos híbridos, híbridos flex, híbridos plug-in, 100% a bateria ou movidos a hidrogênio.Com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w:t>
      </w:r>
    </w:p>
    <w:p w:rsidR="00000000" w:rsidDel="00000000" w:rsidP="00000000" w:rsidRDefault="00000000" w:rsidRPr="00000000" w14:paraId="00000014">
      <w:pPr>
        <w:spacing w:after="0" w:line="240" w:lineRule="auto"/>
        <w:jc w:val="both"/>
        <w:rPr>
          <w:rFonts w:ascii="Arial" w:cs="Arial" w:eastAsia="Arial" w:hAnsi="Arial"/>
          <w:i w:val="1"/>
          <w:color w:val="222222"/>
          <w:sz w:val="20"/>
          <w:szCs w:val="20"/>
          <w:highlight w:val="white"/>
        </w:rPr>
      </w:pPr>
      <w:r w:rsidDel="00000000" w:rsidR="00000000" w:rsidRPr="00000000">
        <w:rPr>
          <w:rFonts w:ascii="Arial" w:cs="Arial" w:eastAsia="Arial" w:hAnsi="Arial"/>
          <w:i w:val="1"/>
          <w:color w:val="222222"/>
          <w:sz w:val="20"/>
          <w:szCs w:val="20"/>
          <w:highlight w:val="white"/>
          <w:rtl w:val="0"/>
        </w:rPr>
        <w:t xml:space="preserve">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9">
        <w:r w:rsidDel="00000000" w:rsidR="00000000" w:rsidRPr="00000000">
          <w:rPr>
            <w:rFonts w:ascii="Arial" w:cs="Arial" w:eastAsia="Arial" w:hAnsi="Arial"/>
            <w:i w:val="1"/>
            <w:color w:val="222222"/>
            <w:sz w:val="20"/>
            <w:szCs w:val="20"/>
            <w:highlight w:val="white"/>
            <w:rtl w:val="0"/>
          </w:rPr>
          <w:t xml:space="preserve"> </w:t>
        </w:r>
      </w:hyperlink>
      <w:hyperlink r:id="rId10">
        <w:r w:rsidDel="00000000" w:rsidR="00000000" w:rsidRPr="00000000">
          <w:rPr>
            <w:rFonts w:ascii="Arial" w:cs="Arial" w:eastAsia="Arial" w:hAnsi="Arial"/>
            <w:i w:val="1"/>
            <w:color w:val="1155cc"/>
            <w:sz w:val="20"/>
            <w:szCs w:val="20"/>
            <w:highlight w:val="white"/>
            <w:u w:val="single"/>
            <w:rtl w:val="0"/>
          </w:rPr>
          <w:t xml:space="preserve">Toyota Global</w:t>
        </w:r>
      </w:hyperlink>
      <w:r w:rsidDel="00000000" w:rsidR="00000000" w:rsidRPr="00000000">
        <w:rPr>
          <w:rFonts w:ascii="Arial" w:cs="Arial" w:eastAsia="Arial" w:hAnsi="Arial"/>
          <w:i w:val="1"/>
          <w:sz w:val="20"/>
          <w:szCs w:val="20"/>
          <w:highlight w:val="white"/>
          <w:rtl w:val="0"/>
        </w:rPr>
        <w:t xml:space="preserve"> </w:t>
      </w:r>
      <w:r w:rsidDel="00000000" w:rsidR="00000000" w:rsidRPr="00000000">
        <w:rPr>
          <w:rFonts w:ascii="Arial" w:cs="Arial" w:eastAsia="Arial" w:hAnsi="Arial"/>
          <w:i w:val="1"/>
          <w:color w:val="222222"/>
          <w:sz w:val="20"/>
          <w:szCs w:val="20"/>
          <w:highlight w:val="white"/>
          <w:rtl w:val="0"/>
        </w:rPr>
        <w:t xml:space="preserve">e</w:t>
      </w:r>
      <w:hyperlink r:id="rId11">
        <w:r w:rsidDel="00000000" w:rsidR="00000000" w:rsidRPr="00000000">
          <w:rPr>
            <w:rFonts w:ascii="Arial" w:cs="Arial" w:eastAsia="Arial" w:hAnsi="Arial"/>
            <w:i w:val="1"/>
            <w:color w:val="222222"/>
            <w:sz w:val="20"/>
            <w:szCs w:val="20"/>
            <w:highlight w:val="white"/>
            <w:rtl w:val="0"/>
          </w:rPr>
          <w:t xml:space="preserve"> </w:t>
        </w:r>
      </w:hyperlink>
      <w:hyperlink r:id="rId12">
        <w:r w:rsidDel="00000000" w:rsidR="00000000" w:rsidRPr="00000000">
          <w:rPr>
            <w:rFonts w:ascii="Arial" w:cs="Arial" w:eastAsia="Arial" w:hAnsi="Arial"/>
            <w:i w:val="1"/>
            <w:color w:val="1155cc"/>
            <w:sz w:val="20"/>
            <w:szCs w:val="20"/>
            <w:highlight w:val="white"/>
            <w:u w:val="single"/>
            <w:rtl w:val="0"/>
          </w:rPr>
          <w:t xml:space="preserve">Toyota do Brasil</w:t>
        </w:r>
      </w:hyperlink>
      <w:r w:rsidDel="00000000" w:rsidR="00000000" w:rsidRPr="00000000">
        <w:rPr>
          <w:rFonts w:ascii="Arial" w:cs="Arial" w:eastAsia="Arial" w:hAnsi="Arial"/>
          <w:i w:val="1"/>
          <w:color w:val="222222"/>
          <w:sz w:val="20"/>
          <w:szCs w:val="20"/>
          <w:highlight w:val="white"/>
          <w:rtl w:val="0"/>
        </w:rPr>
        <w:t xml:space="preserve">.</w:t>
      </w:r>
    </w:p>
    <w:p w:rsidR="00000000" w:rsidDel="00000000" w:rsidP="00000000" w:rsidRDefault="00000000" w:rsidRPr="00000000" w14:paraId="00000015">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16">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17">
      <w:pPr>
        <w:spacing w:after="240" w:before="24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hyperlink r:id="rId13">
        <w:r w:rsidDel="00000000" w:rsidR="00000000" w:rsidRPr="00000000">
          <w:rPr>
            <w:rFonts w:ascii="Arial" w:cs="Arial" w:eastAsia="Arial" w:hAnsi="Arial"/>
            <w:color w:val="0000ff"/>
            <w:highlight w:val="white"/>
            <w:u w:val="single"/>
            <w:rtl w:val="0"/>
          </w:rPr>
          <w:t xml:space="preserve">lassis@toyota.com.br</w:t>
        </w:r>
      </w:hyperlink>
      <w:r w:rsidDel="00000000" w:rsidR="00000000" w:rsidRPr="00000000">
        <w:rPr>
          <w:rtl w:val="0"/>
        </w:rPr>
      </w:r>
    </w:p>
    <w:p w:rsidR="00000000" w:rsidDel="00000000" w:rsidP="00000000" w:rsidRDefault="00000000" w:rsidRPr="00000000" w14:paraId="00000018">
      <w:pPr>
        <w:spacing w:after="240" w:before="24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19">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highlight w:val="white"/>
          <w:rtl w:val="0"/>
        </w:rPr>
        <w:t xml:space="preserve">Kessia Santos – </w:t>
      </w:r>
      <w:r w:rsidDel="00000000" w:rsidR="00000000" w:rsidRPr="00000000">
        <w:rPr>
          <w:rFonts w:ascii="Arial" w:cs="Arial" w:eastAsia="Arial" w:hAnsi="Arial"/>
          <w:highlight w:val="white"/>
          <w:u w:val="single"/>
          <w:rtl w:val="0"/>
        </w:rPr>
        <w:t xml:space="preserve">kosantos@toyota.com.br</w:t>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1A">
      <w:pPr>
        <w:spacing w:after="240" w:before="240" w:line="276" w:lineRule="auto"/>
        <w:jc w:val="both"/>
        <w:rPr>
          <w:rFonts w:ascii="Arial" w:cs="Arial" w:eastAsia="Arial" w:hAnsi="Arial"/>
          <w:b w:val="1"/>
          <w:color w:val="b0273b"/>
          <w:highlight w:val="white"/>
        </w:rPr>
      </w:pPr>
      <w:r w:rsidDel="00000000" w:rsidR="00000000" w:rsidRPr="00000000">
        <w:rPr>
          <w:rFonts w:ascii="Arial" w:cs="Arial" w:eastAsia="Arial" w:hAnsi="Arial"/>
          <w:b w:val="1"/>
          <w:color w:val="b0273b"/>
          <w:highlight w:val="white"/>
          <w:rtl w:val="0"/>
        </w:rPr>
        <w:t xml:space="preserve">RPMA Comunicação</w:t>
      </w:r>
    </w:p>
    <w:p w:rsidR="00000000" w:rsidDel="00000000" w:rsidP="00000000" w:rsidRDefault="00000000" w:rsidRPr="00000000" w14:paraId="0000001B">
      <w:pPr>
        <w:spacing w:after="240" w:before="240" w:line="276"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1C">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1D">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Leonardo de Araujo – (11) 96084-0473</w:t>
      </w:r>
    </w:p>
    <w:p w:rsidR="00000000" w:rsidDel="00000000" w:rsidP="00000000" w:rsidRDefault="00000000" w:rsidRPr="00000000" w14:paraId="0000001E">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Henrique Carmo - (11) 98058-6298</w:t>
      </w:r>
    </w:p>
    <w:p w:rsidR="00000000" w:rsidDel="00000000" w:rsidP="00000000" w:rsidRDefault="00000000" w:rsidRPr="00000000" w14:paraId="0000001F">
      <w:pPr>
        <w:spacing w:after="240" w:before="240" w:line="276" w:lineRule="auto"/>
        <w:jc w:val="both"/>
        <w:rPr>
          <w:rFonts w:ascii="Arial" w:cs="Arial" w:eastAsia="Arial" w:hAnsi="Arial"/>
          <w:sz w:val="24"/>
          <w:szCs w:val="24"/>
          <w:highlight w:val="white"/>
        </w:rPr>
      </w:pPr>
      <w:r w:rsidDel="00000000" w:rsidR="00000000" w:rsidRPr="00000000">
        <w:rPr>
          <w:rFonts w:ascii="Arial" w:cs="Arial" w:eastAsia="Arial" w:hAnsi="Arial"/>
          <w:b w:val="1"/>
          <w:color w:val="b0273b"/>
          <w:highlight w:val="white"/>
          <w:rtl w:val="0"/>
        </w:rPr>
        <w:t xml:space="preserve">Tel.: (11) 5501-4655</w:t>
      </w:r>
      <w:r w:rsidDel="00000000" w:rsidR="00000000" w:rsidRPr="00000000">
        <w:rPr>
          <w:rtl w:val="0"/>
        </w:rPr>
      </w:r>
    </w:p>
    <w:sectPr>
      <w:headerReference r:id="rId14" w:type="default"/>
      <w:headerReference r:id="rId15" w:type="first"/>
      <w:headerReference r:id="rId16" w:type="even"/>
      <w:footerReference r:id="rId17" w:type="default"/>
      <w:footerReference r:id="rId18"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-199994</wp:posOffset>
          </wp:positionV>
          <wp:extent cx="757237" cy="555307"/>
          <wp:effectExtent b="0" l="0" r="0" t="0"/>
          <wp:wrapSquare wrapText="bothSides" distB="114300" distT="114300" distL="114300" distR="114300"/>
          <wp:docPr id="20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-70443</wp:posOffset>
          </wp:positionH>
          <wp:positionV relativeFrom="paragraph">
            <wp:posOffset>-116154</wp:posOffset>
          </wp:positionV>
          <wp:extent cx="1468755" cy="467995"/>
          <wp:effectExtent b="0" l="0" r="0" t="0"/>
          <wp:wrapNone/>
          <wp:docPr id="20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2146300</wp:posOffset>
              </wp:positionH>
              <wp:positionV relativeFrom="paragraph">
                <wp:posOffset>0</wp:posOffset>
              </wp:positionV>
              <wp:extent cx="691515" cy="691515"/>
              <wp:effectExtent b="0" l="0" r="0" t="0"/>
              <wp:wrapSquare wrapText="bothSides" distB="0" distT="0" distL="0" distR="0"/>
              <wp:docPr descr="• PUBLIC 公開" id="20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2146300</wp:posOffset>
              </wp:positionH>
              <wp:positionV relativeFrom="paragraph">
                <wp:posOffset>0</wp:posOffset>
              </wp:positionV>
              <wp:extent cx="691515" cy="691515"/>
              <wp:effectExtent b="0" l="0" r="0" t="0"/>
              <wp:wrapSquare wrapText="bothSides" distB="0" distT="0" distL="0" distR="0"/>
              <wp:docPr descr="• PUBLIC 公開" id="204"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691515" cy="69151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2146300</wp:posOffset>
              </wp:positionH>
              <wp:positionV relativeFrom="paragraph">
                <wp:posOffset>0</wp:posOffset>
              </wp:positionV>
              <wp:extent cx="691515" cy="691515"/>
              <wp:effectExtent b="0" l="0" r="0" t="0"/>
              <wp:wrapSquare wrapText="bothSides" distB="0" distT="0" distL="0" distR="0"/>
              <wp:docPr descr="• PUBLIC 公開" id="20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2146300</wp:posOffset>
              </wp:positionH>
              <wp:positionV relativeFrom="paragraph">
                <wp:posOffset>0</wp:posOffset>
              </wp:positionV>
              <wp:extent cx="691515" cy="691515"/>
              <wp:effectExtent b="0" l="0" r="0" t="0"/>
              <wp:wrapSquare wrapText="bothSides" distB="0" distT="0" distL="0" distR="0"/>
              <wp:docPr descr="• PUBLIC 公開" id="203"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691515" cy="6915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table" w:styleId="TableNormalff1" w:customStyle="1">
    <w:name w:val="Table Normal"/>
    <w:tblPr>
      <w:tblCellMar>
        <w:top w:w="0.0" w:type="dxa"/>
        <w:left w:w="0.0" w:type="dxa"/>
        <w:bottom w:w="0.0" w:type="dxa"/>
        <w:right w:w="0.0" w:type="dxa"/>
      </w:tblCellMar>
    </w:tblPr>
  </w:style>
  <w:style w:type="table" w:styleId="TableNormalff2" w:customStyle="1">
    <w:name w:val="Table Normal"/>
    <w:tblPr>
      <w:tblCellMar>
        <w:top w:w="0.0" w:type="dxa"/>
        <w:left w:w="0.0" w:type="dxa"/>
        <w:bottom w:w="0.0" w:type="dxa"/>
        <w:right w:w="0.0" w:type="dxa"/>
      </w:tblCellMar>
    </w:tblPr>
  </w:style>
  <w:style w:type="table" w:styleId="TableNormalff3" w:customStyle="1">
    <w:name w:val="Table Normal"/>
    <w:tblPr>
      <w:tblCellMar>
        <w:top w:w="0.0" w:type="dxa"/>
        <w:left w:w="0.0" w:type="dxa"/>
        <w:bottom w:w="0.0" w:type="dxa"/>
        <w:right w:w="0.0" w:type="dxa"/>
      </w:tblCellMar>
    </w:tblPr>
  </w:style>
  <w:style w:type="table" w:styleId="TableNormalff4" w:customStyle="1">
    <w:name w:val="Table Normal"/>
    <w:tblPr>
      <w:tblCellMar>
        <w:top w:w="0.0" w:type="dxa"/>
        <w:left w:w="0.0" w:type="dxa"/>
        <w:bottom w:w="0.0" w:type="dxa"/>
        <w:right w:w="0.0" w:type="dxa"/>
      </w:tblCellMar>
    </w:tblPr>
  </w:style>
  <w:style w:type="table" w:styleId="TableNormalff5" w:customStyle="1">
    <w:name w:val="Table Normal"/>
    <w:tblPr>
      <w:tblCellMar>
        <w:top w:w="0.0" w:type="dxa"/>
        <w:left w:w="0.0" w:type="dxa"/>
        <w:bottom w:w="0.0" w:type="dxa"/>
        <w:right w:w="0.0" w:type="dxa"/>
      </w:tblCellMar>
    </w:tblPr>
  </w:style>
  <w:style w:type="table" w:styleId="TableNormalff6" w:customStyle="1">
    <w:name w:val="Table Normal"/>
    <w:tblPr>
      <w:tblCellMar>
        <w:top w:w="0.0" w:type="dxa"/>
        <w:left w:w="0.0" w:type="dxa"/>
        <w:bottom w:w="0.0" w:type="dxa"/>
        <w:right w:w="0.0" w:type="dxa"/>
      </w:tblCellMar>
    </w:tblPr>
  </w:style>
  <w:style w:type="table" w:styleId="TableNormalff7" w:customStyle="1">
    <w:name w:val="Table Normal"/>
    <w:tblPr>
      <w:tblCellMar>
        <w:top w:w="0.0" w:type="dxa"/>
        <w:left w:w="0.0" w:type="dxa"/>
        <w:bottom w:w="0.0" w:type="dxa"/>
        <w:right w:w="0.0" w:type="dxa"/>
      </w:tblCellMar>
    </w:tblPr>
  </w:style>
  <w:style w:type="table" w:styleId="TableNormalff8"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oyota.com.br" TargetMode="External"/><Relationship Id="rId10" Type="http://schemas.openxmlformats.org/officeDocument/2006/relationships/hyperlink" Target="https://www.toyota-global.com" TargetMode="External"/><Relationship Id="rId13" Type="http://schemas.openxmlformats.org/officeDocument/2006/relationships/hyperlink" Target="mailto:lassis@toyota.com.br" TargetMode="External"/><Relationship Id="rId12" Type="http://schemas.openxmlformats.org/officeDocument/2006/relationships/hyperlink" Target="https://www.toyota.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global.com"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jp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ubaGdTHmBk8yrQootuUL2Mh1g==">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2023-08-15T11:44:00Z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