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line="420" w:lineRule="auto"/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center"/>
        <w:rPr>
          <w:rFonts w:ascii="Arial" w:cs="Arial" w:eastAsia="Arial" w:hAnsi="Arial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highlight w:val="white"/>
          <w:rtl w:val="0"/>
        </w:rPr>
        <w:t xml:space="preserve">Toyota se despede da produção de Etios no Brasil</w:t>
      </w:r>
    </w:p>
    <w:p w:rsidR="00000000" w:rsidDel="00000000" w:rsidP="00000000" w:rsidRDefault="00000000" w:rsidRPr="00000000" w14:paraId="00000003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center"/>
        <w:rPr>
          <w:rFonts w:ascii="Arial" w:cs="Arial" w:eastAsia="Arial" w:hAnsi="Arial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Modelo, que deixará de ser produzido após 11 anos, foi um dos principais veículos da empresa na região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Etios desempenhou um papel fundamental ao transformar a operação brasileira em um polo exportador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="360" w:lineRule="auto"/>
        <w:ind w:left="72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Com o fim da sua fabricação, Toyota deve preparar a produção para o novo modelo híbrido flex no próximo ano</w:t>
      </w:r>
    </w:p>
    <w:p w:rsidR="00000000" w:rsidDel="00000000" w:rsidP="00000000" w:rsidRDefault="00000000" w:rsidRPr="00000000" w14:paraId="0000000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 Toyota do Brasil encerrará a produção de seu compacto Etios, nas versões hatchback e sedã, fabricado na unidade de Sorocaba (SP), a partir de 31 de agosto. Desde 2021, o modelo era produzido exclusivamente para exportação para a América Latina. 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 decisão foi tomada em função da preparação da companhia para a introdução de um novo modelo compacto híbrido flex, que será comercializado no mercado nacional e regional, o que fará que seja necessário um ajuste na linha de produção da fábrica de Sorocaba.</w:t>
      </w:r>
    </w:p>
    <w:p w:rsidR="00000000" w:rsidDel="00000000" w:rsidP="00000000" w:rsidRDefault="00000000" w:rsidRPr="00000000" w14:paraId="0000000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 encerramento da produção do Etios não afetará os empregos ou operação da unidade da Toyota na cidade. A fabricante tem flexibilidade para ajustar a capacidade de produção de acordo com a demanda interna e externa e com as movimentações de mercado.</w:t>
      </w:r>
    </w:p>
    <w:p w:rsidR="00000000" w:rsidDel="00000000" w:rsidP="00000000" w:rsidRDefault="00000000" w:rsidRPr="00000000" w14:paraId="0000000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 fim do ciclo de vida do Etios responde ao fortalecimento e crescimento da estratégia regional de produtos oferecidos pela Toyota do Brasil. O Etios desempenhou um papel fundamental no portfólio da montadora, promovendo os atributos de qualidade, durabilidade e confiabilidade dos automóveis produzidos no Brasil. Em 11 anos, mais de 680 mil unidades foram produzidas.  </w:t>
      </w:r>
    </w:p>
    <w:p w:rsidR="00000000" w:rsidDel="00000000" w:rsidP="00000000" w:rsidRDefault="00000000" w:rsidRPr="00000000" w14:paraId="0000000B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Os vários aprimoramentos do Etios ao longo dos anos foram essenciais para a Toyota ser mais sensível à voz dos clientes, por meio de investimentos constantes para oferecer a eles um produto que se encaixasse perfeitamente à sua experiência de propriedade.</w:t>
      </w:r>
    </w:p>
    <w:p w:rsidR="00000000" w:rsidDel="00000000" w:rsidP="00000000" w:rsidRDefault="00000000" w:rsidRPr="00000000" w14:paraId="0000000C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 modelo também foi marco fundamental na estratégia de expansão regional da Toyota para consolidar a companhia como uma das maiores exportadoras do País. Desde 2013, mais de 240 mil veículos foram exportados para os países vizinhos.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Atualmente, a fábrica da Toyota em Sorocaba é responsável por produzir também os veículos Yaris e Corolla Cross; e deve receber, no próximo ano, a produção de um novo modelo compacto híbrido flex, que atenderá ao mercado nacional e regional.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Com o encerramento da produção do modelo, a versão Etios Aibo deixará de ser oferecida no portfólio KINTO no Brasil a partir deste mês. </w:t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 divulgação deste material colabora diretamente para os seguintes Objetivos de Sustentabilidade da ONU:</w:t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before="300" w:line="360" w:lineRule="auto"/>
        <w:jc w:val="both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</w:rPr>
        <w:drawing>
          <wp:inline distB="114300" distT="114300" distL="114300" distR="114300">
            <wp:extent cx="1042775" cy="1051612"/>
            <wp:effectExtent b="0" l="0" r="0" t="0"/>
            <wp:docPr id="19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2775" cy="10516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</w:rPr>
        <w:drawing>
          <wp:inline distB="114300" distT="114300" distL="114300" distR="114300">
            <wp:extent cx="1048703" cy="1043732"/>
            <wp:effectExtent b="0" l="0" r="0" t="0"/>
            <wp:docPr id="194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8703" cy="10437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ind w:hanging="2"/>
        <w:jc w:val="both"/>
        <w:rPr>
          <w:rFonts w:ascii="Arial" w:cs="Arial" w:eastAsia="Arial" w:hAnsi="Arial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Toyota do Brasil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 Departamento de Comunicação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1155c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Kelly Buarque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1155cc"/>
          <w:sz w:val="24"/>
          <w:szCs w:val="24"/>
          <w:rtl w:val="0"/>
        </w:rPr>
        <w:t xml:space="preserve">kbuarque@toyota.com.br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1155c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Kessia Santos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Lilian Assis de Oliveira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lassis@toyota.com.br</w:t>
        </w:r>
      </w:hyperlink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b0273b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sz w:val="24"/>
          <w:szCs w:val="24"/>
          <w:rtl w:val="0"/>
        </w:rPr>
        <w:t xml:space="preserve">RPMA Comunicação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1155c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155cc"/>
          <w:sz w:val="24"/>
          <w:szCs w:val="24"/>
          <w:rtl w:val="0"/>
        </w:rPr>
        <w:t xml:space="preserve">toyota@rpmacomunicacao.com.br</w:t>
      </w:r>
    </w:p>
    <w:p w:rsidR="00000000" w:rsidDel="00000000" w:rsidP="00000000" w:rsidRDefault="00000000" w:rsidRPr="00000000" w14:paraId="0000001E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Guilherme Magna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(11) 98600-8988</w:t>
      </w:r>
    </w:p>
    <w:p w:rsidR="00000000" w:rsidDel="00000000" w:rsidP="00000000" w:rsidRDefault="00000000" w:rsidRPr="00000000" w14:paraId="00000020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Leonardo de Araujo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(11) 96084-0473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Henrique Carmo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(11) 98058-6298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jc w:val="both"/>
        <w:rPr>
          <w:rFonts w:ascii="Arial" w:cs="Arial" w:eastAsia="Arial" w:hAnsi="Arial"/>
          <w:color w:val="b0273b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b0273b"/>
          <w:sz w:val="24"/>
          <w:szCs w:val="24"/>
          <w:rtl w:val="0"/>
        </w:rPr>
        <w:t xml:space="preserve">Tel.: (11) 5501-4655</w:t>
      </w:r>
    </w:p>
    <w:p w:rsidR="00000000" w:rsidDel="00000000" w:rsidP="00000000" w:rsidRDefault="00000000" w:rsidRPr="00000000" w14:paraId="00000024">
      <w:pPr>
        <w:shd w:fill="ffffff" w:val="clear"/>
        <w:spacing w:after="0" w:line="240" w:lineRule="auto"/>
        <w:rPr>
          <w:rFonts w:ascii="Arial" w:cs="Arial" w:eastAsia="Arial" w:hAnsi="Arial"/>
          <w:sz w:val="24"/>
          <w:szCs w:val="24"/>
        </w:rPr>
      </w:pPr>
      <w:hyperlink r:id="rId11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Site RPMA Comunicação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0" w:line="24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hanging="2"/>
        <w:jc w:val="both"/>
        <w:rPr>
          <w:rFonts w:ascii="Arial" w:cs="Arial" w:eastAsia="Arial" w:hAnsi="Arial"/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2146300</wp:posOffset>
              </wp:positionH>
              <wp:positionV relativeFrom="paragraph">
                <wp:posOffset>0</wp:posOffset>
              </wp:positionV>
              <wp:extent cx="691515" cy="691515"/>
              <wp:effectExtent b="0" l="0" r="0" t="0"/>
              <wp:wrapSquare wrapText="bothSides" distB="0" distT="0" distL="0" distR="0"/>
              <wp:docPr descr="• PUBLIC 公開" id="19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2146300</wp:posOffset>
              </wp:positionH>
              <wp:positionV relativeFrom="paragraph">
                <wp:posOffset>0</wp:posOffset>
              </wp:positionV>
              <wp:extent cx="691515" cy="691515"/>
              <wp:effectExtent b="0" l="0" r="0" t="0"/>
              <wp:wrapSquare wrapText="bothSides" distB="0" distT="0" distL="0" distR="0"/>
              <wp:docPr descr="• PUBLIC 公開" id="193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515" cy="691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-199994</wp:posOffset>
          </wp:positionV>
          <wp:extent cx="757237" cy="555307"/>
          <wp:effectExtent b="0" l="0" r="0" t="0"/>
          <wp:wrapSquare wrapText="bothSides" distB="114300" distT="114300" distL="114300" distR="114300"/>
          <wp:docPr id="19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-70443</wp:posOffset>
          </wp:positionH>
          <wp:positionV relativeFrom="paragraph">
            <wp:posOffset>-116154</wp:posOffset>
          </wp:positionV>
          <wp:extent cx="1468755" cy="467995"/>
          <wp:effectExtent b="0" l="0" r="0" t="0"/>
          <wp:wrapNone/>
          <wp:docPr id="19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2146300</wp:posOffset>
              </wp:positionH>
              <wp:positionV relativeFrom="paragraph">
                <wp:posOffset>0</wp:posOffset>
              </wp:positionV>
              <wp:extent cx="691515" cy="691515"/>
              <wp:effectExtent b="0" l="0" r="0" t="0"/>
              <wp:wrapSquare wrapText="bothSides" distB="0" distT="0" distL="0" distR="0"/>
              <wp:docPr descr="• PUBLIC 公開" id="19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2146300</wp:posOffset>
              </wp:positionH>
              <wp:positionV relativeFrom="paragraph">
                <wp:posOffset>0</wp:posOffset>
              </wp:positionV>
              <wp:extent cx="691515" cy="691515"/>
              <wp:effectExtent b="0" l="0" r="0" t="0"/>
              <wp:wrapSquare wrapText="bothSides" distB="0" distT="0" distL="0" distR="0"/>
              <wp:docPr descr="• PUBLIC 公開" id="192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1515" cy="6915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table" w:styleId="a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6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2303.imxsnd09.com/link.php?code=bDpodHRwcyUzQSUyRiUyRnd3dy5ycG1hY29tdW5pY2FjYW8uY29tLmJyOjM2MDM4MDkxMjE6Z3VpbGhlcm1lLm1hZ25hQHJwbWFjb211bmljYWNhby5jb20uYnI6NDNjODczOjNl" TargetMode="External"/><Relationship Id="rId10" Type="http://schemas.openxmlformats.org/officeDocument/2006/relationships/hyperlink" Target="mailto:lassis@toyota.com.br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osantos@toyota.com.br" TargetMode="External"/><Relationship Id="rId15" Type="http://schemas.openxmlformats.org/officeDocument/2006/relationships/footer" Target="footer1.xml"/><Relationship Id="rId14" Type="http://schemas.openxmlformats.org/officeDocument/2006/relationships/header" Target="header3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4kCA3lvJX2WR7S/bvfsKP38n2g==">CgMxLjA4AHIhMUN6WmlQZ01xUFE4b2ZFSUdlcWdPNHo3ekhxOUk1REtN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2023-07-26T19:06:00Z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