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do Brasil patrocina projeto Pincel Mágico, que leva arte e cultura para crianças e adolescentes de Sorocaba</w:t>
      </w:r>
    </w:p>
    <w:p w:rsidR="00000000" w:rsidDel="00000000" w:rsidP="00000000" w:rsidRDefault="00000000" w:rsidRPr="00000000" w14:paraId="00000004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Pintura, ‘graffiti’ e escultura são algumas das atividades oferecidas pelo projeto</w:t>
      </w:r>
    </w:p>
    <w:p w:rsidR="00000000" w:rsidDel="00000000" w:rsidP="00000000" w:rsidRDefault="00000000" w:rsidRPr="00000000" w14:paraId="00000006">
      <w:pPr>
        <w:spacing w:after="0" w:line="360" w:lineRule="auto"/>
        <w:ind w:left="7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IBM Plex Serif" w:cs="IBM Plex Serif" w:eastAsia="IBM Plex Serif" w:hAnsi="IBM Plex Serif"/>
          <w:color w:val="404040"/>
          <w:sz w:val="26"/>
          <w:szCs w:val="26"/>
          <w:highlight w:val="white"/>
        </w:rPr>
        <w:drawing>
          <wp:inline distB="0" distT="0" distL="0" distR="0">
            <wp:extent cx="3600000" cy="2412000"/>
            <wp:effectExtent b="0" l="0" r="0" t="0"/>
            <wp:docPr descr="Uma imagem contendo pessoa, mulher, em pé, segurando&#10;&#10;Descrição gerada automaticamente" id="219" name="image5.jpg"/>
            <a:graphic>
              <a:graphicData uri="http://schemas.openxmlformats.org/drawingml/2006/picture">
                <pic:pic>
                  <pic:nvPicPr>
                    <pic:cNvPr descr="Uma imagem contendo pessoa, mulher, em pé, segurando&#10;&#10;Descrição gerada automaticamente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1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junho de 2023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A Toyota do Brasil está em busca de fortalecer seu compromisso com a responsabilidade social por meio do apoio às artes e à cultura. Nesse sentido, a empresa está incentivando o projeto Pincel Mágico em Sorocaba (SP), por meio da Lei Federal de Incentivo à Cultura (Lei Rouanet). Essa iniciativa reflete o comprometimento da Toyota em promover um ambiente positivo nas comunidades onde atua.</w:t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p7qobyr8cer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z9uv7v7qeteb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Otacilio Nascimento, gerente de Comunicação Corporativa da Toyota do Brasil, destaca a importância dessa iniciativa. “O investimento direcionado a ações culturais como essa desempenha um papel crucial na promoção e democratização da arte, ao incentivar e oferecer oportunidades para as comunidades expressarem sua identidade cultural de maneira significativa e enriquecedora”, afirma.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bookmarkStart w:colFirst="0" w:colLast="0" w:name="_heading=h.7ajbba3vcsm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16xam93yzk2d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Totalmente gratuito, mediante a inscrição antecipada ou conforme a disponibilidade no dia, o projeto Pincel Mágico é uma oportunidade de colaborar com o desenvolvimento infantil por meio da arte e cultura, propiciando incentivo a gerações futuras e deixando um legado de responsabilidade social.</w:t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qir2iva6q07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tyrst9f43om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O evento acontece na sexta-feira e no sábado e estima receber um público de aproximadamente mil crianças e adolescentes para um fim de semana em que a imaginação ganha forma e cor pelas mãos dos pequenos artistas de Sorocaba.</w:t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pby3pdjl1u1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inscrição é gratuita e deve ser realizada no site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www.projetopincelmagico.com.br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ye1vk0opo4r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6xv944938rl" w:id="9"/>
      <w:bookmarkEnd w:id="9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Serviço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6zsp02ygiwkr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Projeto Pincel Mágico</w:t>
      </w:r>
    </w:p>
    <w:p w:rsidR="00000000" w:rsidDel="00000000" w:rsidP="00000000" w:rsidRDefault="00000000" w:rsidRPr="00000000" w14:paraId="00000015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tuetu6c2yift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Data: 30/6 e 1º/7 </w:t>
      </w:r>
    </w:p>
    <w:p w:rsidR="00000000" w:rsidDel="00000000" w:rsidP="00000000" w:rsidRDefault="00000000" w:rsidRPr="00000000" w14:paraId="00000016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qh1b59hao0av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Horários: das 9 h às 17 h</w:t>
      </w:r>
    </w:p>
    <w:p w:rsidR="00000000" w:rsidDel="00000000" w:rsidP="00000000" w:rsidRDefault="00000000" w:rsidRPr="00000000" w14:paraId="00000017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dl6bc97c3v62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Local: Praça do Ipiranga – Rua D. Américo Figueiredo, 2.286 – Jardim Simus – Sorocaba (SP)</w:t>
      </w:r>
    </w:p>
    <w:p w:rsidR="00000000" w:rsidDel="00000000" w:rsidP="00000000" w:rsidRDefault="00000000" w:rsidRPr="00000000" w14:paraId="00000018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5043j69twohj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Idade indicativa: 4 a 14 anos </w:t>
      </w:r>
    </w:p>
    <w:p w:rsidR="00000000" w:rsidDel="00000000" w:rsidP="00000000" w:rsidRDefault="00000000" w:rsidRPr="00000000" w14:paraId="00000019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lbrkvchvabb5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Ingressos gratuitos. Antecipadamente pela plataforma Sympla! Ou conforme a disponibilidade na área de credenciamento do evento.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vgy34xahv6x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tblGridChange w:id="0">
          <w:tblGrid>
            <w:gridCol w:w="1830"/>
          </w:tblGrid>
        </w:tblGridChange>
      </w:tblGrid>
      <w:tr>
        <w:trPr>
          <w:cantSplit w:val="0"/>
          <w:trHeight w:val="56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8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800"/>
              <w:tblGridChange w:id="0">
                <w:tblGrid>
                  <w:gridCol w:w="1800"/>
                </w:tblGrid>
              </w:tblGridChange>
            </w:tblGrid>
            <w:tr>
              <w:trPr>
                <w:cantSplit w:val="0"/>
                <w:trHeight w:val="56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2222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175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1755"/>
                    <w:tblGridChange w:id="0">
                      <w:tblGrid>
                        <w:gridCol w:w="1755"/>
                      </w:tblGrid>
                    </w:tblGridChange>
                  </w:tblGrid>
                  <w:tr>
                    <w:trPr>
                      <w:cantSplit w:val="0"/>
                      <w:trHeight w:val="186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0.0" w:type="dxa"/>
                          <w:left w:w="20.0" w:type="dxa"/>
                          <w:bottom w:w="20.0" w:type="dxa"/>
                          <w:right w:w="2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1">
                        <w:pPr>
                          <w:spacing w:after="0" w:line="319.0909090909091" w:lineRule="auto"/>
                          <w:rPr>
                            <w:rFonts w:ascii="Arial" w:cs="Arial" w:eastAsia="Arial" w:hAnsi="Arial"/>
                            <w:color w:val="500050"/>
                          </w:rPr>
                        </w:pPr>
                        <w:r w:rsidDel="00000000" w:rsidR="00000000" w:rsidRPr="00000000">
                          <w:rPr>
                            <w:color w:val="222222"/>
                          </w:rPr>
                          <w:drawing>
                            <wp:inline distB="114300" distT="114300" distL="114300" distR="114300">
                              <wp:extent cx="1092200" cy="1092200"/>
                              <wp:effectExtent b="0" l="0" r="0" t="0"/>
                              <wp:docPr id="218" name="image4.jp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2200" cy="109220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2">
                  <w:pPr>
                    <w:spacing w:after="0" w:line="319.0909090909091" w:lineRule="auto"/>
                    <w:rPr>
                      <w:rFonts w:ascii="Arial" w:cs="Arial" w:eastAsia="Arial" w:hAnsi="Arial"/>
                      <w:color w:val="50005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500050"/>
                    </w:rPr>
                    <w:drawing>
                      <wp:inline distB="114300" distT="114300" distL="114300" distR="114300">
                        <wp:extent cx="1104900" cy="1104900"/>
                        <wp:effectExtent b="0" l="0" r="0" t="0"/>
                        <wp:docPr id="220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900" cy="1104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177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1770"/>
                    <w:tblGridChange w:id="0">
                      <w:tblGrid>
                        <w:gridCol w:w="1770"/>
                      </w:tblGrid>
                    </w:tblGridChange>
                  </w:tblGrid>
                  <w:tr>
                    <w:trPr>
                      <w:cantSplit w:val="0"/>
                      <w:trHeight w:val="189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0.0" w:type="dxa"/>
                          <w:left w:w="20.0" w:type="dxa"/>
                          <w:bottom w:w="20.0" w:type="dxa"/>
                          <w:right w:w="2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3">
                        <w:pPr>
                          <w:spacing w:after="0" w:line="319.0909090909091" w:lineRule="auto"/>
                          <w:rPr>
                            <w:rFonts w:ascii="Arial" w:cs="Arial" w:eastAsia="Arial" w:hAnsi="Arial"/>
                            <w:color w:val="500050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500050"/>
                          </w:rPr>
                          <w:drawing>
                            <wp:inline distB="114300" distT="114300" distL="114300" distR="114300">
                              <wp:extent cx="1092200" cy="1092200"/>
                              <wp:effectExtent b="0" l="0" r="0" t="0"/>
                              <wp:docPr id="217" name="image6.jp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6.jp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2200" cy="109220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4">
                  <w:pPr>
                    <w:spacing w:after="0" w:line="360" w:lineRule="auto"/>
                    <w:jc w:val="both"/>
                    <w:rPr>
                      <w:rFonts w:ascii="Arial" w:cs="Arial" w:eastAsia="Arial" w:hAnsi="Arial"/>
                      <w:color w:val="50005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175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1755"/>
                    <w:tblGridChange w:id="0">
                      <w:tblGrid>
                        <w:gridCol w:w="1755"/>
                      </w:tblGrid>
                    </w:tblGridChange>
                  </w:tblGrid>
                  <w:tr>
                    <w:trPr>
                      <w:cantSplit w:val="0"/>
                      <w:trHeight w:val="187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0.0" w:type="dxa"/>
                          <w:left w:w="20.0" w:type="dxa"/>
                          <w:bottom w:w="20.0" w:type="dxa"/>
                          <w:right w:w="2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5">
                        <w:pPr>
                          <w:spacing w:after="0" w:line="319.0909090909091" w:lineRule="auto"/>
                          <w:rPr>
                            <w:rFonts w:ascii="Arial" w:cs="Arial" w:eastAsia="Arial" w:hAnsi="Arial"/>
                            <w:color w:val="50005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6"/>
                          <w:tblW w:w="1725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1725"/>
                          <w:tblGridChange w:id="0">
                            <w:tblGrid>
                              <w:gridCol w:w="1725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12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60.0" w:type="dxa"/>
                                <w:left w:w="60.0" w:type="dxa"/>
                                <w:bottom w:w="60.0" w:type="dxa"/>
                                <w:right w:w="6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26">
                              <w:pPr>
                                <w:spacing w:after="0" w:line="360" w:lineRule="auto"/>
                                <w:jc w:val="both"/>
                                <w:rPr>
                                  <w:rFonts w:ascii="Arial" w:cs="Arial" w:eastAsia="Arial" w:hAnsi="Arial"/>
                                  <w:color w:val="50005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27">
                        <w:pPr>
                          <w:spacing w:after="0" w:line="360" w:lineRule="auto"/>
                          <w:rPr>
                            <w:rFonts w:ascii="Arial" w:cs="Arial" w:eastAsia="Arial" w:hAnsi="Arial"/>
                            <w:color w:val="50005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8">
                  <w:pPr>
                    <w:spacing w:after="0" w:line="360" w:lineRule="auto"/>
                    <w:jc w:val="both"/>
                    <w:rPr>
                      <w:rFonts w:ascii="Arial" w:cs="Arial" w:eastAsia="Arial" w:hAnsi="Arial"/>
                      <w:color w:val="50005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500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100% a bateria ou movidos a hidrogênio. 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 e 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17"/>
      <w:bookmarkEnd w:id="17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38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A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B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Cauê Malatesta – (11) 97200-7570</w:t>
      </w:r>
    </w:p>
    <w:p w:rsidR="00000000" w:rsidDel="00000000" w:rsidP="00000000" w:rsidRDefault="00000000" w:rsidRPr="00000000" w14:paraId="0000003C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Henrique Carmo - (11) 98058-6298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bookmarkStart w:colFirst="0" w:colLast="0" w:name="_heading=h.1fob9te" w:id="18"/>
      <w:bookmarkEnd w:id="18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 www.rpmacomunicacao.com.br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BM Plex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-723899</wp:posOffset>
              </wp:positionV>
              <wp:extent cx="1427914" cy="1387015"/>
              <wp:effectExtent b="0" l="0" r="0" t="0"/>
              <wp:wrapSquare wrapText="bothSides" distB="0" distT="0" distL="0" distR="0"/>
              <wp:docPr descr="• PUBLIC 公開" id="2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-723899</wp:posOffset>
              </wp:positionV>
              <wp:extent cx="1427914" cy="1387015"/>
              <wp:effectExtent b="0" l="0" r="0" t="0"/>
              <wp:wrapSquare wrapText="bothSides" distB="0" distT="0" distL="0" distR="0"/>
              <wp:docPr descr="• PUBLIC 公開" id="214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7914" cy="1387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-199993</wp:posOffset>
          </wp:positionV>
          <wp:extent cx="757237" cy="555307"/>
          <wp:effectExtent b="0" l="0" r="0" t="0"/>
          <wp:wrapSquare wrapText="bothSides" distB="114300" distT="114300" distL="114300" distR="114300"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-70442</wp:posOffset>
          </wp:positionH>
          <wp:positionV relativeFrom="paragraph">
            <wp:posOffset>-116153</wp:posOffset>
          </wp:positionV>
          <wp:extent cx="1468755" cy="46799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b="0" l="0" r="0" t="0"/>
              <wp:wrapSquare wrapText="bothSides" distB="0" distT="0" distL="0" distR="0"/>
              <wp:docPr descr="• PUBLIC 公開" id="2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b="0" l="0" r="0" t="0"/>
              <wp:wrapSquare wrapText="bothSides" distB="0" distT="0" distL="0" distR="0"/>
              <wp:docPr descr="• PUBLIC 公開" id="215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" cy="70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b="0" l="0" r="0" t="0"/>
              <wp:wrapSquare wrapText="bothSides" distB="0" distT="0" distL="0" distR="0"/>
              <wp:docPr descr="• PUBLIC 公開" id="21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b="0" l="0" r="0" t="0"/>
              <wp:wrapSquare wrapText="bothSides" distB="0" distT="0" distL="0" distR="0"/>
              <wp:docPr descr="• PUBLIC 公開" id="216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" cy="70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6.jpg"/><Relationship Id="rId10" Type="http://schemas.openxmlformats.org/officeDocument/2006/relationships/image" Target="media/image3.jpg"/><Relationship Id="rId13" Type="http://schemas.openxmlformats.org/officeDocument/2006/relationships/hyperlink" Target="https://www.toyota.com.br/" TargetMode="External"/><Relationship Id="rId12" Type="http://schemas.openxmlformats.org/officeDocument/2006/relationships/hyperlink" Target="https://www.toyota-global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mailto:kosantos@toyota.com.br" TargetMode="External"/><Relationship Id="rId14" Type="http://schemas.openxmlformats.org/officeDocument/2006/relationships/hyperlink" Target="mailto:kbuarque@toyota.com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5.jpg"/><Relationship Id="rId8" Type="http://schemas.openxmlformats.org/officeDocument/2006/relationships/hyperlink" Target="http://www.projetopincelmagic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erif-regular.ttf"/><Relationship Id="rId2" Type="http://schemas.openxmlformats.org/officeDocument/2006/relationships/font" Target="fonts/IBMPlexSerif-bold.ttf"/><Relationship Id="rId3" Type="http://schemas.openxmlformats.org/officeDocument/2006/relationships/font" Target="fonts/IBMPlexSerif-italic.ttf"/><Relationship Id="rId4" Type="http://schemas.openxmlformats.org/officeDocument/2006/relationships/font" Target="fonts/IBMPlexSerif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M/aw2bpcGFrsBNOqT+nz2xWjw==">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2023-06-27T20:55:00Z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