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BC" w:rsidRDefault="00C52CBC">
      <w:pPr>
        <w:spacing w:before="240" w:after="240" w:line="36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</w:p>
    <w:p w:rsidR="00C52CBC" w:rsidRDefault="00117643">
      <w:pPr>
        <w:spacing w:before="240" w:after="240" w:line="36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bookmarkStart w:id="0" w:name="_GoBack"/>
      <w:r>
        <w:rPr>
          <w:rFonts w:ascii="Arial" w:eastAsia="Arial" w:hAnsi="Arial" w:cs="Arial"/>
          <w:b/>
          <w:sz w:val="28"/>
          <w:szCs w:val="28"/>
          <w:highlight w:val="white"/>
        </w:rPr>
        <w:t>Toyota lança linha 2024 da picape Hilux e do utilitário SW4</w:t>
      </w:r>
    </w:p>
    <w:bookmarkEnd w:id="0"/>
    <w:p w:rsidR="00C52CBC" w:rsidRDefault="00117643">
      <w:pPr>
        <w:spacing w:after="240" w:line="360" w:lineRule="auto"/>
        <w:jc w:val="center"/>
        <w:rPr>
          <w:rFonts w:ascii="Arial" w:eastAsia="Arial" w:hAnsi="Arial" w:cs="Arial"/>
          <w:i/>
          <w:sz w:val="24"/>
          <w:szCs w:val="24"/>
          <w:highlight w:val="white"/>
        </w:rPr>
      </w:pPr>
      <w:r>
        <w:rPr>
          <w:rFonts w:ascii="Arial" w:eastAsia="Arial" w:hAnsi="Arial" w:cs="Arial"/>
          <w:i/>
          <w:sz w:val="24"/>
          <w:szCs w:val="24"/>
          <w:highlight w:val="white"/>
        </w:rPr>
        <w:t>Modelos seguem na liderança em vendas de suas respectivas categorias no primeiro quadrimestre do ano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Toyota do Brasil anuncia a chegada da linha 2024 da Hilux e SW4, reforçando sua liderança entre as picapes médias a diesel e os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SUVs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grandes, respectivamente. Ambos os modelos já estão disponíveis em toda a rede autorizada Toyota no País e seguem o padrã</w:t>
      </w:r>
      <w:r>
        <w:rPr>
          <w:rFonts w:ascii="Arial" w:eastAsia="Arial" w:hAnsi="Arial" w:cs="Arial"/>
          <w:sz w:val="24"/>
          <w:szCs w:val="24"/>
          <w:highlight w:val="white"/>
        </w:rPr>
        <w:t>o de qualidade da marca, visando atender aos mais variados perfis de consumidor, mantendo sua reputação de robustez, durabilidade, versatilidade e agilidade.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Nos primeiros quatro meses de 2023, a picape registrou 13.811 unidades comercializadas, enquanto 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SW4 somou 4.376 unidades vendidas. Esses </w:t>
      </w:r>
      <w:proofErr w:type="gramStart"/>
      <w:r>
        <w:rPr>
          <w:rFonts w:ascii="Arial" w:eastAsia="Arial" w:hAnsi="Arial" w:cs="Arial"/>
          <w:sz w:val="24"/>
          <w:szCs w:val="24"/>
          <w:highlight w:val="white"/>
        </w:rPr>
        <w:t>números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reafirmam a excelência que a Toyota oferece em seus veículos e a preferência dos clientes. Desde o início da importação desses veículos no Brasil, a Hilux ultrapassa as 700 mil vendas, enquanto o SW4 já ven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deu mais de 190 mil unidades em todo o País. 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Hilux e SW4 na KINTO 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Como uma empresa de mobilidade, a Toyota oferece os novos modelos Hilux e SW4 2024 em toda a sua rede de concessionárias tanto para compra quanto para aluguel, por meio da KINTO e seus ser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viços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One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Personal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de assinatura de veículos 0 km, e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One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Fleet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focado em gestão de frotas corporativas. Vale destacar que, recentemente, a KINTO também anunciou um novo canal direto com foco em Produtores Rurais. Agora, a adesão de modelos To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yota por meio do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One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Fleet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pode ser feita por qualquer produtor rural, via CPF e inscrição estadual. 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Interessados devem procurar a rede de concessionárias Toyota ou acessar o site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https://kintomobilit</w:t>
        </w:r>
        <w:r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y.com.br/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.   </w:t>
      </w:r>
    </w:p>
    <w:p w:rsidR="00C52CBC" w:rsidRDefault="00C52CB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C52CBC" w:rsidRDefault="00C52CB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Hilux 2024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linha Hilux 2024 traz uma nova central multimídia com tela de 9 polegadas, que oferece espelhamento sem fio para Apple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CarPlay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  <w:vertAlign w:val="superscript"/>
        </w:rPr>
        <w:t>®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Android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Auto</w:t>
      </w:r>
      <w:r>
        <w:rPr>
          <w:rFonts w:ascii="Arial" w:eastAsia="Arial" w:hAnsi="Arial" w:cs="Arial"/>
          <w:sz w:val="24"/>
          <w:szCs w:val="24"/>
          <w:highlight w:val="white"/>
          <w:vertAlign w:val="superscript"/>
        </w:rPr>
        <w:t>®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chegada da nova Hilux GR-SPORT também é destaque na linha 2024. Além de um visual mais robusto, baseado no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“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rally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road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>”,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 versão recém- apresentada carrega fielmente o DNA GAZOO Racing em sua construção. A picape ganhou aprimoramentos na plataforma, que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evoluiu e apresenta bitola mais larga (+155 mm na traseira e +140 mm na frente), nova suspensão com amortecedores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monotubo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novos freios e mais potência em relação às demais versões do portfólio Hilux.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trike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partir da versão SR, a Hilux chega equipada de séri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 com ar-condicionado de duas zonas automático e digital, com saídas para o banco traseiro, computador de bordo, controle de velocidade de cruzeiro, e outros itens de conforto e conveniência. As versões SRX, GR-SPORT 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Conquest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trazem câmera 360° e aprimor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amentos no pacote de segurança ativa Toyota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Safety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Sense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que inclui o sistema de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pré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-colisão frontal (PCS). Essas melhorias reforçam o compromisso contínuo da Toyota em oferecer a máxima proteção e tranquilidade aos seus clientes.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Motorização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 reconhecido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motor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turbodiesel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2.8L 16V continua equipando a Hilux 2024. Nas versões com transmissão manual, o motor entrega 204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cv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de potência e torque de 42,8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kgfm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a 3.400 rpm. Já nas versões com transmissão automática, o torque aumenta para 50,9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kgfm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a 2.800 rpm. D</w:t>
      </w:r>
      <w:r>
        <w:rPr>
          <w:rFonts w:ascii="Arial" w:eastAsia="Arial" w:hAnsi="Arial" w:cs="Arial"/>
          <w:sz w:val="24"/>
          <w:szCs w:val="24"/>
          <w:highlight w:val="white"/>
        </w:rPr>
        <w:t>e acordo com o Programa Brasileiro de Etiquetagem Veicular (PBEV) do Inmetro, a Hilux equipada com transmissão automática apresenta o consumo de 10,1 km/l no percurso urbano e 11,3 km/l no percurso rodoviário.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Hilux GR-SPORT é equipada com o motor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turbod</w:t>
      </w:r>
      <w:r>
        <w:rPr>
          <w:rFonts w:ascii="Arial" w:eastAsia="Arial" w:hAnsi="Arial" w:cs="Arial"/>
          <w:sz w:val="24"/>
          <w:szCs w:val="24"/>
          <w:highlight w:val="white"/>
        </w:rPr>
        <w:t>iesel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2.8L 16V, 4 cilindros em linha, mas com uma reconfiguração que entrega 224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cv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de potência e 55,0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kgfm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de torque. Todo esse conjunto de força é acoplado a uma transmissão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automática de seis velocidades sequencial com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paddle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shift</w:t>
      </w:r>
      <w:r>
        <w:rPr>
          <w:rFonts w:ascii="Arial" w:eastAsia="Arial" w:hAnsi="Arial" w:cs="Arial"/>
          <w:sz w:val="24"/>
          <w:szCs w:val="24"/>
          <w:highlight w:val="white"/>
        </w:rPr>
        <w:t>, que reforça ainda ma</w:t>
      </w:r>
      <w:r>
        <w:rPr>
          <w:rFonts w:ascii="Arial" w:eastAsia="Arial" w:hAnsi="Arial" w:cs="Arial"/>
          <w:sz w:val="24"/>
          <w:szCs w:val="24"/>
          <w:highlight w:val="white"/>
        </w:rPr>
        <w:t>is o espírito esportivo do veículo.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Segurança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Desde a versão de cabine simples, destinada ao trabalho, a Hilux 2024 já vem dotada de dois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airbags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frontais e um de joelho, para o motorista; bloqueio do diferencial traseiro (com acionamento elétrico); freios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ABS e sistema auxiliar EBD (distribuição eletrônica de força de frenagem) nas quatro rodas; cintos de segurança de três pontos para todos os bancos, com pré-tensionador e limitador de força para o condutor e o passageiro.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Já os itens de assistência de sub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ida (HAC), controle eletrônico de estabilidade (VSC), controle eletrônico de tração (A-TRC) e luz de frenagem emergencial automática seguem disponíveis em toda a linha Hilux, desde as versões de entrada até as mais equipadas. 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Nas versões com cabine dupla,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a Hilux ainda vem com mais quatro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airbags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dois laterais e dois de cortina, sistema universal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Isofix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® para fixação de cadeirinha para crianças no banco traseiro e assistente de reboque.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partir da versão SR, são adicionados sensores frontais e traseiros </w:t>
      </w:r>
      <w:r>
        <w:rPr>
          <w:rFonts w:ascii="Arial" w:eastAsia="Arial" w:hAnsi="Arial" w:cs="Arial"/>
          <w:sz w:val="24"/>
          <w:szCs w:val="24"/>
          <w:highlight w:val="white"/>
        </w:rPr>
        <w:t>que auxiliam o condutor nas manobras. Esses sensores medem a distância de objetos e/ou dos carros estacionados, indicando ao motorista a distância com sinais sonoros de aproximação.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partir da versão SRX, é incorporado o sistema de monitor de visão 360º (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Panoramic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View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Monitor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– PVM), que vai agregado no modo de exibição do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display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como suporte ao motorista na identificação de movimentos ao redor de todo o veículo. 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As versões SRX,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Conquest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e GR-SPORT ainda adicionam o sistema Toyota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Safety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Sense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que dis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põe de: 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Sistema de </w:t>
      </w:r>
      <w:proofErr w:type="spellStart"/>
      <w:r>
        <w:rPr>
          <w:rFonts w:ascii="Arial" w:eastAsia="Arial" w:hAnsi="Arial" w:cs="Arial"/>
          <w:b/>
          <w:sz w:val="24"/>
          <w:szCs w:val="24"/>
          <w:highlight w:val="white"/>
        </w:rPr>
        <w:t>Pré</w:t>
      </w:r>
      <w:proofErr w:type="spellEnd"/>
      <w:r>
        <w:rPr>
          <w:rFonts w:ascii="Arial" w:eastAsia="Arial" w:hAnsi="Arial" w:cs="Arial"/>
          <w:b/>
          <w:sz w:val="24"/>
          <w:szCs w:val="24"/>
          <w:highlight w:val="white"/>
        </w:rPr>
        <w:t>-Colisão Frontal (</w:t>
      </w: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</w:rPr>
        <w:t>PCS)*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– O sistema de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Pré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-Colisão Frontal do Toyota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Safety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Sense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usa a câmera e o radar de ondas milimétricas para detectar veículos que circulam nas ruas e estradas. Se o sistema detectar a possibilidade </w:t>
      </w: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>de uma colisão, alerta o motorista por meio de avisos sonoros e visuais e ativa a assistência de frenagem, para evi</w:t>
      </w:r>
      <w:r>
        <w:rPr>
          <w:rFonts w:ascii="Arial" w:eastAsia="Arial" w:hAnsi="Arial" w:cs="Arial"/>
          <w:sz w:val="24"/>
          <w:szCs w:val="24"/>
          <w:highlight w:val="white"/>
        </w:rPr>
        <w:t>tar ou reduzir os danos causados por ela.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trike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Sistema de Alerta de Mudança de Faixa (</w:t>
      </w: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</w:rPr>
        <w:t>LDA)*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– Em determinadas circunstâncias, o Sistema de Alerta de Mudança de Faixa (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Lane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Departure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Alert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System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– LDA) é projetado para detectar desvios de pista, quando as linha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s divisórias são visíveis. Ao ouvir e ver os alertas, e depois de verificar que é seguro fazê-lo, o veículo deve ser redirecionado para o centro da pista. 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Controle de Cruzeiro Adaptativo (</w:t>
      </w:r>
      <w:proofErr w:type="gramStart"/>
      <w:r>
        <w:rPr>
          <w:rFonts w:ascii="Arial" w:eastAsia="Arial" w:hAnsi="Arial" w:cs="Arial"/>
          <w:b/>
          <w:sz w:val="24"/>
          <w:szCs w:val="24"/>
          <w:highlight w:val="white"/>
        </w:rPr>
        <w:t>ACC)*</w:t>
      </w:r>
      <w:proofErr w:type="gramEnd"/>
      <w:r>
        <w:rPr>
          <w:rFonts w:ascii="Arial" w:eastAsia="Arial" w:hAnsi="Arial" w:cs="Arial"/>
          <w:sz w:val="24"/>
          <w:szCs w:val="24"/>
          <w:highlight w:val="white"/>
        </w:rPr>
        <w:t xml:space="preserve"> – O Controle de Cruzeiro Adaptativo (ACC) é um sistema semelh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ante ao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cruise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control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que permite a condução a uma velocidade constante predeterminada. O ACC usa o radar de ondas milimétricas montado na grade frontal e a câmera projetada a bordo para detectar veículos, calcular sua distância e ajustar a velocidade, p</w:t>
      </w:r>
      <w:r>
        <w:rPr>
          <w:rFonts w:ascii="Arial" w:eastAsia="Arial" w:hAnsi="Arial" w:cs="Arial"/>
          <w:sz w:val="24"/>
          <w:szCs w:val="24"/>
          <w:highlight w:val="white"/>
        </w:rPr>
        <w:t>ara ajudar a manter uma distância predeterminada de veículo para veículo.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*Os sistemas de segurança ativa, como o Toyota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Safety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Sense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>, são projetados para auxiliar o motorista, e não para substituí-lo. O motorista deve manter o controle de seu veículo em t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odos os momentos e é responsável por sua condução, pois esse sistema não substitui a condução segura. A operação do Toyota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Safety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Sense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pode ser afetada ou prejudicada devido a fatores externos, e a Toyota não é responsável pelas consequências derivadas do</w:t>
      </w:r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uso do sistema.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Preços</w:t>
      </w:r>
    </w:p>
    <w:tbl>
      <w:tblPr>
        <w:tblStyle w:val="a"/>
        <w:tblW w:w="42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1965"/>
      </w:tblGrid>
      <w:tr w:rsidR="00C52CBC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Versão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Preço </w:t>
            </w:r>
          </w:p>
        </w:tc>
      </w:tr>
      <w:tr w:rsidR="00C52CBC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GR-SPORT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R$ 372.890</w:t>
            </w:r>
          </w:p>
        </w:tc>
      </w:tr>
      <w:tr w:rsidR="00C52CBC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Conquest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R$ 338.190</w:t>
            </w:r>
          </w:p>
        </w:tc>
      </w:tr>
      <w:tr w:rsidR="00C52CBC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SRX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R$ 324.490</w:t>
            </w:r>
          </w:p>
        </w:tc>
      </w:tr>
      <w:tr w:rsidR="00C52CBC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SRV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R$ 289.990</w:t>
            </w:r>
          </w:p>
        </w:tc>
      </w:tr>
      <w:tr w:rsidR="00C52CBC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R$ 272.190</w:t>
            </w:r>
          </w:p>
        </w:tc>
      </w:tr>
      <w:tr w:rsidR="00C52CBC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STD Power Pack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R$ 242.590</w:t>
            </w:r>
          </w:p>
        </w:tc>
      </w:tr>
      <w:tr w:rsidR="00C52CBC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Cabine Simples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R$ 226.790</w:t>
            </w:r>
          </w:p>
        </w:tc>
      </w:tr>
      <w:tr w:rsidR="00C52CBC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lastRenderedPageBreak/>
              <w:t>Chassi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R$ 219.090</w:t>
            </w:r>
          </w:p>
        </w:tc>
      </w:tr>
    </w:tbl>
    <w:p w:rsidR="00C52CBC" w:rsidRDefault="00C52CBC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SW4 2024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linha 2024 do SW4 continua com seu design marcante e esportivo, transmitindo dinamismo e exclusividade. O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line-up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do modelo segue com as versões SRX, de cinco e sete lugares, Diamond e GR-SPORT de sete lugares, sendo a última com aumento de 20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cv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no dese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mpenho, semelhante à picape Hilux GR-SPORT. </w:t>
      </w:r>
    </w:p>
    <w:p w:rsidR="00C52CBC" w:rsidRDefault="00C52C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C52CBC" w:rsidRDefault="00117643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O pacote de conectividade inclui uma central multimídia com tela sensível ao toque de 9 polegadas, espelhamento sem fio para Apple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CarPlay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  <w:vertAlign w:val="superscript"/>
        </w:rPr>
        <w:t>®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Android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Auto</w:t>
      </w:r>
      <w:r>
        <w:rPr>
          <w:rFonts w:ascii="Arial" w:eastAsia="Arial" w:hAnsi="Arial" w:cs="Arial"/>
          <w:sz w:val="24"/>
          <w:szCs w:val="24"/>
          <w:highlight w:val="white"/>
          <w:vertAlign w:val="superscript"/>
        </w:rPr>
        <w:t>®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o sistema de áudio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premium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JBL</w:t>
      </w:r>
      <w:r>
        <w:rPr>
          <w:rFonts w:ascii="Arial" w:eastAsia="Arial" w:hAnsi="Arial" w:cs="Arial"/>
          <w:sz w:val="24"/>
          <w:szCs w:val="24"/>
          <w:highlight w:val="white"/>
          <w:vertAlign w:val="superscript"/>
        </w:rPr>
        <w:t>®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</w:p>
    <w:p w:rsidR="00C52CBC" w:rsidRDefault="00117643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Todas as versões v</w:t>
      </w:r>
      <w:r>
        <w:rPr>
          <w:rFonts w:ascii="Arial" w:eastAsia="Arial" w:hAnsi="Arial" w:cs="Arial"/>
          <w:sz w:val="24"/>
          <w:szCs w:val="24"/>
          <w:highlight w:val="white"/>
        </w:rPr>
        <w:t>êm com o sistema de monitor de visão 360º (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Panoramic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View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Monitor</w:t>
      </w:r>
      <w:r>
        <w:rPr>
          <w:rFonts w:ascii="Arial" w:eastAsia="Arial" w:hAnsi="Arial" w:cs="Arial"/>
          <w:sz w:val="24"/>
          <w:szCs w:val="24"/>
          <w:highlight w:val="white"/>
        </w:rPr>
        <w:t>) e ar-condicionado automático digital de duas zonas.</w:t>
      </w:r>
    </w:p>
    <w:p w:rsidR="00C52CBC" w:rsidRDefault="00117643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As versões Diamond e GR-SPORT oferecem ainda um carregador por indução para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smartphones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duas portas USB no console para maior conveniência dos passageiros traseiros.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Motorização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Assim como na Hilux, o propulsor que equipa o SUV é diesel 2.8L 16V, gera 204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cv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de potência e torque de 50,9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kgfm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a 2.800 rpm, e está sempre acoplado a uma transm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issão automática sequencial de seis velocidades com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paddle</w:t>
      </w:r>
      <w:proofErr w:type="spellEnd"/>
      <w:r>
        <w:rPr>
          <w:rFonts w:ascii="Arial" w:eastAsia="Arial" w:hAnsi="Arial" w:cs="Arial"/>
          <w:i/>
          <w:sz w:val="24"/>
          <w:szCs w:val="24"/>
          <w:highlight w:val="white"/>
        </w:rPr>
        <w:t xml:space="preserve"> shift</w:t>
      </w:r>
      <w:r>
        <w:rPr>
          <w:rFonts w:ascii="Arial" w:eastAsia="Arial" w:hAnsi="Arial" w:cs="Arial"/>
          <w:sz w:val="24"/>
          <w:szCs w:val="24"/>
          <w:highlight w:val="white"/>
        </w:rPr>
        <w:t>.</w:t>
      </w:r>
    </w:p>
    <w:p w:rsidR="00C52CBC" w:rsidRDefault="00C52C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Preços</w:t>
      </w:r>
    </w:p>
    <w:tbl>
      <w:tblPr>
        <w:tblStyle w:val="a0"/>
        <w:tblW w:w="4830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2415"/>
      </w:tblGrid>
      <w:tr w:rsidR="00C52CB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Versão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Preço</w:t>
            </w:r>
          </w:p>
        </w:tc>
      </w:tr>
      <w:tr w:rsidR="00C52CB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GR-SPORT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R$ 436.890</w:t>
            </w:r>
          </w:p>
        </w:tc>
      </w:tr>
      <w:tr w:rsidR="00C52CB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Diamond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R$ 424.090</w:t>
            </w:r>
          </w:p>
        </w:tc>
      </w:tr>
      <w:tr w:rsidR="00C52CB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SRX (7 lugares)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R$ 382.790</w:t>
            </w:r>
          </w:p>
        </w:tc>
      </w:tr>
      <w:tr w:rsidR="00C52CBC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SRX (5 lugares)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2CBC" w:rsidRDefault="0011764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R$ 376.190</w:t>
            </w:r>
          </w:p>
        </w:tc>
      </w:tr>
    </w:tbl>
    <w:p w:rsidR="00C52CBC" w:rsidRDefault="00C52C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C52CBC" w:rsidRDefault="00C52CBC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lastRenderedPageBreak/>
        <w:t>Segurança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Todas as versões do Toyota SW4 são dotadas do sistema Toyota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Safety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Sense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. Com isso, o modelo é equipado com:</w:t>
      </w:r>
    </w:p>
    <w:p w:rsidR="00C52CBC" w:rsidRDefault="00C52C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Sistema de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pré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-colisão frontal (PCS)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Sistema de aviso de mudança de faixa (LDA)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Controle adaptativo de cruzeiro (ACC)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Além dos itens adicionais de segurança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trike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Controle de estabilidade (VSC)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Controle eletrônico de tração (A-TRC)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Assistência de descida (DAC)</w:t>
      </w:r>
    </w:p>
    <w:p w:rsidR="00C52CBC" w:rsidRDefault="00C52CBC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</w:p>
    <w:p w:rsidR="00C52CBC" w:rsidRDefault="00C52CBC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Assistência de</w:t>
      </w:r>
      <w:r>
        <w:rPr>
          <w:rFonts w:ascii="Arial" w:eastAsia="Arial" w:hAnsi="Arial" w:cs="Arial"/>
          <w:strike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subida (HAC) 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Sistema de Alerta de ponto cego (BSM)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Sistema de Alerta de tráfego traseiro (RCTA)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Controle de oscilação de reboque (TSC)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ABS com freio eletrônico – distribuição de força (EBD)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Assistência à frenagem de emergência (BA)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Luzes de freio de emergência (EBS)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Âncoras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Isofix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® (x2) com amarração superior (x2)</w:t>
      </w:r>
    </w:p>
    <w:p w:rsidR="00C52CBC" w:rsidRDefault="00C52CB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Todas as versões ainda contam com c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intos de segurança de três pontos para todos os bancos, com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pré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-tensor e limitador de força para o condutor e o passageiro dianteiro. Além de sete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airbags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sendo dois frontais, dois laterais, dois de cortina e um de joelho para o motorista. </w:t>
      </w:r>
    </w:p>
    <w:p w:rsidR="00C52CBC" w:rsidRDefault="00C52CBC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Objetivos de </w:t>
      </w:r>
      <w:r>
        <w:rPr>
          <w:rFonts w:ascii="Arial" w:eastAsia="Arial" w:hAnsi="Arial" w:cs="Arial"/>
          <w:b/>
          <w:highlight w:val="white"/>
        </w:rPr>
        <w:t>Desenvolvimento Sustentável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 divulgação deste material colabora diretamente para os seguintes Objetivos de Desenvolvimento Sustentável (ODS) da ONU:</w:t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lastRenderedPageBreak/>
        <w:t xml:space="preserve"> </w:t>
      </w:r>
      <w:r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>
            <wp:extent cx="1030400" cy="1008476"/>
            <wp:effectExtent l="0" t="0" r="0" b="0"/>
            <wp:docPr id="16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400" cy="100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2CBC" w:rsidRDefault="00117643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_____________________________________________________________</w:t>
      </w:r>
    </w:p>
    <w:p w:rsidR="00C52CBC" w:rsidRDefault="00117643">
      <w:pPr>
        <w:spacing w:after="0" w:line="360" w:lineRule="auto"/>
        <w:jc w:val="both"/>
        <w:rPr>
          <w:rFonts w:ascii="Arial" w:eastAsia="Arial" w:hAnsi="Arial" w:cs="Arial"/>
          <w:sz w:val="16"/>
          <w:szCs w:val="16"/>
          <w:highlight w:val="white"/>
        </w:rPr>
      </w:pPr>
      <w:r>
        <w:rPr>
          <w:rFonts w:ascii="Arial" w:eastAsia="Arial" w:hAnsi="Arial" w:cs="Arial"/>
          <w:b/>
          <w:highlight w:val="white"/>
        </w:rPr>
        <w:t>Sobre a Toyota do Brasil</w:t>
      </w:r>
    </w:p>
    <w:p w:rsidR="00C52CBC" w:rsidRDefault="00117643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A Toyota do Brasil está presente no País há 65 anos. Possui quatro unidades produtivas, localizadas em Indaiatuba, Sorocaba, Porto Feliz e São Bernardo do Campo, todas no Estado de São Paulo, e emprega cerca de 6 mil pessoas. A Toyota é a montadora líder e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m eletrificação no mundo: desde 1997 já foram comercializados mais de 20 milhões de automóveis mais limpos, sejam modelos híbridos, híbridos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flex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>, híbridos plug-in, 100% a bateria ou movidos a hidrogênio. Com o objetivo de impulsionar a eletrificação da fr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ota de veículos no Brasil, em 2013, a Toyota lançou o primeiro veículo híbrido em nosso país, o Toyota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Prius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>.</w:t>
      </w:r>
    </w:p>
    <w:p w:rsidR="00C52CBC" w:rsidRDefault="00117643">
      <w:pPr>
        <w:spacing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Em 2019 a companhia foi além, inovando mais uma vez para oferecer o único híbrido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flex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do mundo – fabricado com exclusividade no mercado brasileir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o –, o Corolla Sedã, e, em 2021, o primeiro SUV híbrido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flex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do mercado, o Corolla Cross, também fabricado no País. Atualmente, já são mais de 55 mil carros eletrificados com a tecnologia híbrido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flex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em circulação pelo Brasil. Em 2020, lançou a KINTO, sua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nova empresa de mobilidade, para oferecer serviços como aluguel de carros e gestão de frotas a uma sociedade em transformação. Também reforçou sua marca GAZOO, por meio de iniciativas que desafiam a excelência de seus veículos. Tem como missão produzir fe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licidade para todas as pessoas (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Happiness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for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All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>) e, para tanto, está comprometida em desenvolver carros cada vez melhores e mais seguros, além de avançar nas soluções de mobilidade. Junto com a Fundação Toyota do Brasil, tem iniciativas que repercutem no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s 17 Objetivos de Desenvolvimento Sustentável da ONU. Mais informações:</w:t>
      </w:r>
      <w:hyperlink r:id="rId9">
        <w:r>
          <w:rPr>
            <w:rFonts w:ascii="Arial" w:eastAsia="Arial" w:hAnsi="Arial" w:cs="Arial"/>
            <w:i/>
            <w:sz w:val="20"/>
            <w:szCs w:val="20"/>
            <w:highlight w:val="white"/>
          </w:rPr>
          <w:t xml:space="preserve"> </w:t>
        </w:r>
      </w:hyperlink>
      <w:hyperlink r:id="rId10">
        <w:r>
          <w:rPr>
            <w:rFonts w:ascii="Arial" w:eastAsia="Arial" w:hAnsi="Arial" w:cs="Arial"/>
            <w:i/>
            <w:sz w:val="20"/>
            <w:szCs w:val="20"/>
            <w:highlight w:val="white"/>
            <w:u w:val="single"/>
          </w:rPr>
          <w:t>Toyota Global</w:t>
        </w:r>
      </w:hyperlink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e</w:t>
      </w:r>
      <w:hyperlink r:id="rId11">
        <w:r>
          <w:rPr>
            <w:rFonts w:ascii="Arial" w:eastAsia="Arial" w:hAnsi="Arial" w:cs="Arial"/>
            <w:i/>
            <w:sz w:val="20"/>
            <w:szCs w:val="20"/>
            <w:highlight w:val="white"/>
          </w:rPr>
          <w:t xml:space="preserve"> </w:t>
        </w:r>
      </w:hyperlink>
      <w:hyperlink r:id="rId12">
        <w:r>
          <w:rPr>
            <w:rFonts w:ascii="Arial" w:eastAsia="Arial" w:hAnsi="Arial" w:cs="Arial"/>
            <w:i/>
            <w:sz w:val="20"/>
            <w:szCs w:val="20"/>
            <w:highlight w:val="white"/>
            <w:u w:val="single"/>
          </w:rPr>
          <w:t>Toyota do Brasil</w:t>
        </w:r>
      </w:hyperlink>
      <w:r>
        <w:rPr>
          <w:rFonts w:ascii="Arial" w:eastAsia="Arial" w:hAnsi="Arial" w:cs="Arial"/>
          <w:i/>
          <w:sz w:val="20"/>
          <w:szCs w:val="20"/>
          <w:highlight w:val="white"/>
        </w:rPr>
        <w:t>.</w:t>
      </w:r>
    </w:p>
    <w:p w:rsidR="00C52CBC" w:rsidRDefault="00117643">
      <w:pPr>
        <w:spacing w:after="0" w:line="360" w:lineRule="auto"/>
        <w:rPr>
          <w:rFonts w:ascii="Arial" w:eastAsia="Arial" w:hAnsi="Arial" w:cs="Arial"/>
          <w:b/>
          <w:highlight w:val="white"/>
        </w:rPr>
      </w:pPr>
      <w:r>
        <w:br w:type="page"/>
      </w:r>
    </w:p>
    <w:p w:rsidR="00C52CBC" w:rsidRDefault="00117643">
      <w:pPr>
        <w:spacing w:after="0" w:line="360" w:lineRule="auto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lastRenderedPageBreak/>
        <w:t>Mais informações</w:t>
      </w:r>
    </w:p>
    <w:p w:rsidR="00C52CBC" w:rsidRDefault="00117643">
      <w:pPr>
        <w:spacing w:after="0" w:line="360" w:lineRule="auto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:rsidR="00C52CBC" w:rsidRDefault="00117643">
      <w:pPr>
        <w:spacing w:after="0" w:line="36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Lilian Assis –</w:t>
      </w:r>
      <w:r>
        <w:rPr>
          <w:rFonts w:ascii="Arial" w:eastAsia="Arial" w:hAnsi="Arial" w:cs="Arial"/>
          <w:color w:val="0000FF"/>
          <w:highlight w:val="white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highlight w:val="white"/>
            <w:u w:val="single"/>
          </w:rPr>
          <w:t>lassis@toyota.com.br</w:t>
        </w:r>
      </w:hyperlink>
    </w:p>
    <w:p w:rsidR="00C52CBC" w:rsidRDefault="00117643">
      <w:pPr>
        <w:spacing w:after="0" w:line="36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Kelly Buarque – </w:t>
      </w:r>
      <w:r>
        <w:rPr>
          <w:rFonts w:ascii="Arial" w:eastAsia="Arial" w:hAnsi="Arial" w:cs="Arial"/>
          <w:highlight w:val="white"/>
          <w:u w:val="single"/>
        </w:rPr>
        <w:t>kbuarque@toyota.com.br</w:t>
      </w:r>
      <w:r>
        <w:rPr>
          <w:rFonts w:ascii="Arial" w:eastAsia="Arial" w:hAnsi="Arial" w:cs="Arial"/>
          <w:highlight w:val="white"/>
        </w:rPr>
        <w:t xml:space="preserve"> </w:t>
      </w:r>
    </w:p>
    <w:p w:rsidR="00C52CBC" w:rsidRDefault="00117643">
      <w:pPr>
        <w:spacing w:after="0" w:line="360" w:lineRule="auto"/>
        <w:rPr>
          <w:rFonts w:ascii="Arial" w:eastAsia="Arial" w:hAnsi="Arial" w:cs="Arial"/>
          <w:b/>
          <w:color w:val="B0273B"/>
          <w:highlight w:val="white"/>
        </w:rPr>
      </w:pPr>
      <w:proofErr w:type="spellStart"/>
      <w:r>
        <w:rPr>
          <w:rFonts w:ascii="Arial" w:eastAsia="Arial" w:hAnsi="Arial" w:cs="Arial"/>
          <w:highlight w:val="white"/>
        </w:rPr>
        <w:t>Kessia</w:t>
      </w:r>
      <w:proofErr w:type="spellEnd"/>
      <w:r>
        <w:rPr>
          <w:rFonts w:ascii="Arial" w:eastAsia="Arial" w:hAnsi="Arial" w:cs="Arial"/>
          <w:highlight w:val="white"/>
        </w:rPr>
        <w:t xml:space="preserve"> Santos – </w:t>
      </w:r>
      <w:r>
        <w:rPr>
          <w:rFonts w:ascii="Arial" w:eastAsia="Arial" w:hAnsi="Arial" w:cs="Arial"/>
          <w:highlight w:val="white"/>
          <w:u w:val="single"/>
        </w:rPr>
        <w:t>kosantos@toyota.com.br</w:t>
      </w:r>
      <w:r>
        <w:rPr>
          <w:rFonts w:ascii="Arial" w:eastAsia="Arial" w:hAnsi="Arial" w:cs="Arial"/>
          <w:highlight w:val="white"/>
          <w:u w:val="single"/>
        </w:rPr>
        <w:br/>
      </w:r>
      <w:r>
        <w:rPr>
          <w:rFonts w:ascii="Arial" w:eastAsia="Arial" w:hAnsi="Arial" w:cs="Arial"/>
          <w:b/>
          <w:color w:val="B0273B"/>
          <w:highlight w:val="white"/>
        </w:rPr>
        <w:t>RPMA Comunicação</w:t>
      </w:r>
    </w:p>
    <w:p w:rsidR="00C52CBC" w:rsidRDefault="00117643">
      <w:pPr>
        <w:spacing w:after="0" w:line="360" w:lineRule="auto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:rsidR="00C52CBC" w:rsidRDefault="00117643">
      <w:pPr>
        <w:spacing w:after="0" w:line="360" w:lineRule="auto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:rsidR="00C52CBC" w:rsidRDefault="00117643">
      <w:pPr>
        <w:spacing w:after="0" w:line="360" w:lineRule="auto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Leonardo de </w:t>
      </w:r>
      <w:proofErr w:type="spellStart"/>
      <w:r>
        <w:rPr>
          <w:rFonts w:ascii="Arial" w:eastAsia="Arial" w:hAnsi="Arial" w:cs="Arial"/>
          <w:b/>
          <w:highlight w:val="white"/>
        </w:rPr>
        <w:t>Araujo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– (11) 96084-0473</w:t>
      </w:r>
    </w:p>
    <w:p w:rsidR="00C52CBC" w:rsidRDefault="00117643">
      <w:pPr>
        <w:spacing w:after="0" w:line="360" w:lineRule="auto"/>
        <w:rPr>
          <w:rFonts w:ascii="Arial" w:eastAsia="Arial" w:hAnsi="Arial" w:cs="Arial"/>
          <w:b/>
          <w:highlight w:val="white"/>
        </w:rPr>
      </w:pPr>
      <w:proofErr w:type="spellStart"/>
      <w:r>
        <w:rPr>
          <w:rFonts w:ascii="Arial" w:eastAsia="Arial" w:hAnsi="Arial" w:cs="Arial"/>
          <w:b/>
          <w:highlight w:val="white"/>
        </w:rPr>
        <w:t>Caue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highlight w:val="white"/>
        </w:rPr>
        <w:t>Malatesta</w:t>
      </w:r>
      <w:proofErr w:type="spellEnd"/>
      <w:r>
        <w:rPr>
          <w:rFonts w:ascii="Arial" w:eastAsia="Arial" w:hAnsi="Arial" w:cs="Arial"/>
          <w:b/>
          <w:highlight w:val="white"/>
        </w:rPr>
        <w:t xml:space="preserve"> - (11) 97200-7570</w:t>
      </w:r>
    </w:p>
    <w:p w:rsidR="00C52CBC" w:rsidRDefault="00117643">
      <w:pPr>
        <w:spacing w:after="0"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Tel.: (11) 5501-4655</w:t>
      </w:r>
    </w:p>
    <w:p w:rsidR="00C52CBC" w:rsidRDefault="00C52CBC">
      <w:pPr>
        <w:spacing w:before="240" w:after="24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:rsidR="00C52CBC" w:rsidRDefault="00C52CBC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sectPr w:rsidR="00C52C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43" w:rsidRDefault="00117643">
      <w:pPr>
        <w:spacing w:after="0" w:line="240" w:lineRule="auto"/>
      </w:pPr>
      <w:r>
        <w:separator/>
      </w:r>
    </w:p>
  </w:endnote>
  <w:endnote w:type="continuationSeparator" w:id="0">
    <w:p w:rsidR="00117643" w:rsidRDefault="0011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C" w:rsidRDefault="00C52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C" w:rsidRDefault="00C52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43" w:rsidRDefault="00117643">
      <w:pPr>
        <w:spacing w:after="0" w:line="240" w:lineRule="auto"/>
      </w:pPr>
      <w:r>
        <w:separator/>
      </w:r>
    </w:p>
  </w:footnote>
  <w:footnote w:type="continuationSeparator" w:id="0">
    <w:p w:rsidR="00117643" w:rsidRDefault="0011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C" w:rsidRDefault="001176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624840" cy="624840"/>
              <wp:effectExtent l="0" t="0" r="0" b="0"/>
              <wp:wrapSquare wrapText="bothSides" distT="0" distB="0" distL="0" distR="0"/>
              <wp:docPr id="158" name="Retângulo 158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52CBC" w:rsidRDefault="0011764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624840" cy="624840"/>
              <wp:effectExtent b="0" l="0" r="0" t="0"/>
              <wp:wrapSquare wrapText="bothSides" distB="0" distT="0" distL="0" distR="0"/>
              <wp:docPr descr="• PUBLIC 公開" id="158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840" cy="624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C" w:rsidRDefault="001176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-292099</wp:posOffset>
              </wp:positionV>
              <wp:extent cx="856895" cy="732558"/>
              <wp:effectExtent l="0" t="0" r="0" b="0"/>
              <wp:wrapSquare wrapText="bothSides" distT="0" distB="0" distL="0" distR="0"/>
              <wp:docPr id="156" name="Retângulo 156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52CBC" w:rsidRDefault="00C52CBC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-292099</wp:posOffset>
              </wp:positionV>
              <wp:extent cx="856895" cy="732558"/>
              <wp:effectExtent b="0" l="0" r="0" t="0"/>
              <wp:wrapSquare wrapText="bothSides" distB="0" distT="0" distL="0" distR="0"/>
              <wp:docPr descr="• PUBLIC 公開" id="156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6895" cy="73255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4647255</wp:posOffset>
          </wp:positionH>
          <wp:positionV relativeFrom="paragraph">
            <wp:posOffset>-200001</wp:posOffset>
          </wp:positionV>
          <wp:extent cx="757237" cy="555307"/>
          <wp:effectExtent l="0" t="0" r="0" b="0"/>
          <wp:wrapSquare wrapText="bothSides" distT="114300" distB="114300" distL="114300" distR="114300"/>
          <wp:docPr id="1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-70450</wp:posOffset>
          </wp:positionH>
          <wp:positionV relativeFrom="paragraph">
            <wp:posOffset>-116162</wp:posOffset>
          </wp:positionV>
          <wp:extent cx="1468755" cy="467995"/>
          <wp:effectExtent l="0" t="0" r="0" b="0"/>
          <wp:wrapNone/>
          <wp:docPr id="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2CBC" w:rsidRDefault="00C52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C52CBC" w:rsidRDefault="001176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C" w:rsidRDefault="00117643"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624840" cy="624840"/>
              <wp:effectExtent l="0" t="0" r="0" b="0"/>
              <wp:wrapSquare wrapText="bothSides" distT="0" distB="0" distL="0" distR="0"/>
              <wp:docPr id="157" name="Retângulo 15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52CBC" w:rsidRDefault="00117643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624840" cy="624840"/>
              <wp:effectExtent b="0" l="0" r="0" t="0"/>
              <wp:wrapSquare wrapText="bothSides" distB="0" distT="0" distL="0" distR="0"/>
              <wp:docPr descr="• PUBLIC 公開" id="157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840" cy="624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BC"/>
    <w:rsid w:val="00117643"/>
    <w:rsid w:val="00580839"/>
    <w:rsid w:val="00C5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ED662-6954-41D1-87B8-E6B9E2B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ssis@toyota.com.b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intomobility.com.br/" TargetMode="External"/><Relationship Id="rId12" Type="http://schemas.openxmlformats.org/officeDocument/2006/relationships/hyperlink" Target="https://www.toyota.com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oyota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toyota-globa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yota-globa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YbmXUpZwKa+f7cxBnomw0QcEw==">CgMxLjA4AHIhMVBjLXl2QmxyVXd5TkZjbkdwNUlBS1dYQnRoSXdURnF4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1826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Guilherme Magna</cp:lastModifiedBy>
  <cp:revision>2</cp:revision>
  <dcterms:created xsi:type="dcterms:W3CDTF">2023-06-19T12:36:00Z</dcterms:created>
  <dcterms:modified xsi:type="dcterms:W3CDTF">2023-06-19T12:36:00Z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