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hanging="2"/>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360" w:lineRule="auto"/>
        <w:ind w:hanging="2"/>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Economia circular é caminho para Toyota avançar na agenda de ESG</w:t>
      </w:r>
    </w:p>
    <w:p w:rsidR="00000000" w:rsidDel="00000000" w:rsidP="00000000" w:rsidRDefault="00000000" w:rsidRPr="00000000" w14:paraId="00000003">
      <w:pPr>
        <w:spacing w:after="0" w:line="360" w:lineRule="auto"/>
        <w:ind w:hanging="2"/>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after="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Com reutilização de resíduos, a fabricante aposta esforços na economia circular para uma indústria mais sustentável</w:t>
      </w:r>
    </w:p>
    <w:p w:rsidR="00000000" w:rsidDel="00000000" w:rsidP="00000000" w:rsidRDefault="00000000" w:rsidRPr="00000000" w14:paraId="00000005">
      <w:pPr>
        <w:spacing w:after="0"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60" w:lineRule="auto"/>
        <w:ind w:hanging="2"/>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b w:val="1"/>
          <w:rtl w:val="0"/>
        </w:rPr>
        <w:t xml:space="preserve">São Paulo, junho de 2023 </w:t>
      </w:r>
      <w:r w:rsidDel="00000000" w:rsidR="00000000" w:rsidRPr="00000000">
        <w:rPr>
          <w:rFonts w:ascii="Arial" w:cs="Arial" w:eastAsia="Arial" w:hAnsi="Arial"/>
          <w:rtl w:val="0"/>
        </w:rPr>
        <w:t xml:space="preserve">– A Toyota do Brasil está intensificando seus esforços para promover a economia circular. Com uma visão de longo prazo alinhada à agenda ESG (Environmental, Social and Governance), a fabricante está implementando ações estratégicas que abordam os desafios ambientais, sociais e de governança de forma integrada e reforçam o compromisso com a sustentabilidade e a responsabilidade ambiental. </w:t>
      </w:r>
    </w:p>
    <w:p w:rsidR="00000000" w:rsidDel="00000000" w:rsidP="00000000" w:rsidRDefault="00000000" w:rsidRPr="00000000" w14:paraId="00000007">
      <w:pPr>
        <w:spacing w:after="0" w:line="360" w:lineRule="auto"/>
        <w:ind w:hanging="2"/>
        <w:jc w:val="both"/>
        <w:rPr>
          <w:rFonts w:ascii="Arial" w:cs="Arial" w:eastAsia="Arial" w:hAnsi="Arial"/>
        </w:rPr>
      </w:pPr>
      <w:bookmarkStart w:colFirst="0" w:colLast="0" w:name="_heading=h.pf61nw42u7d6" w:id="1"/>
      <w:bookmarkEnd w:id="1"/>
      <w:r w:rsidDel="00000000" w:rsidR="00000000" w:rsidRPr="00000000">
        <w:rPr>
          <w:rtl w:val="0"/>
        </w:rPr>
      </w:r>
    </w:p>
    <w:p w:rsidR="00000000" w:rsidDel="00000000" w:rsidP="00000000" w:rsidRDefault="00000000" w:rsidRPr="00000000" w14:paraId="00000008">
      <w:pPr>
        <w:spacing w:after="0" w:line="360" w:lineRule="auto"/>
        <w:ind w:hanging="2"/>
        <w:jc w:val="both"/>
        <w:rPr>
          <w:rFonts w:ascii="Arial" w:cs="Arial" w:eastAsia="Arial" w:hAnsi="Arial"/>
        </w:rPr>
      </w:pPr>
      <w:bookmarkStart w:colFirst="0" w:colLast="0" w:name="_heading=h.4erf7m4lxuwb" w:id="2"/>
      <w:bookmarkEnd w:id="2"/>
      <w:r w:rsidDel="00000000" w:rsidR="00000000" w:rsidRPr="00000000">
        <w:rPr>
          <w:rFonts w:ascii="Arial" w:cs="Arial" w:eastAsia="Arial" w:hAnsi="Arial"/>
          <w:rtl w:val="0"/>
        </w:rPr>
        <w:t xml:space="preserve">Viviane Mansi, diretora de ESG e Comunicação da Toyota para a América Latina e Caribe afirma: “A sustentabilidade e economia circular são princípios fundamentais para a Toyota do Brasil. Estamos comprometidos em adotar práticas responsáveis em todas as etapas de nossa produção, minimizando o desperdício e buscando maneiras de reutilizar diferentes tipos de materiais. Além de diminuir o impacto ambiental, essas iniciativas fortalecem novas competências dos times envolvidos, intensificam o uso de criatividade e melhoria contínua de processos. No fim, todos ganham”.</w:t>
      </w:r>
    </w:p>
    <w:p w:rsidR="00000000" w:rsidDel="00000000" w:rsidP="00000000" w:rsidRDefault="00000000" w:rsidRPr="00000000" w14:paraId="00000009">
      <w:pPr>
        <w:spacing w:after="0" w:line="360" w:lineRule="auto"/>
        <w:ind w:hanging="2"/>
        <w:jc w:val="both"/>
        <w:rPr>
          <w:rFonts w:ascii="Arial" w:cs="Arial" w:eastAsia="Arial" w:hAnsi="Arial"/>
        </w:rPr>
      </w:pPr>
      <w:bookmarkStart w:colFirst="0" w:colLast="0" w:name="_heading=h.lvflmk7titop" w:id="3"/>
      <w:bookmarkEnd w:id="3"/>
      <w:r w:rsidDel="00000000" w:rsidR="00000000" w:rsidRPr="00000000">
        <w:rPr>
          <w:rtl w:val="0"/>
        </w:rPr>
      </w:r>
    </w:p>
    <w:p w:rsidR="00000000" w:rsidDel="00000000" w:rsidP="00000000" w:rsidRDefault="00000000" w:rsidRPr="00000000" w14:paraId="0000000A">
      <w:pPr>
        <w:spacing w:after="0" w:line="360" w:lineRule="auto"/>
        <w:ind w:hanging="2"/>
        <w:jc w:val="both"/>
        <w:rPr>
          <w:rFonts w:ascii="Arial" w:cs="Arial" w:eastAsia="Arial" w:hAnsi="Arial"/>
        </w:rPr>
      </w:pPr>
      <w:bookmarkStart w:colFirst="0" w:colLast="0" w:name="_heading=h.yod9c0qt48jf" w:id="4"/>
      <w:bookmarkEnd w:id="4"/>
      <w:r w:rsidDel="00000000" w:rsidR="00000000" w:rsidRPr="00000000">
        <w:rPr>
          <w:rFonts w:ascii="Arial" w:cs="Arial" w:eastAsia="Arial" w:hAnsi="Arial"/>
          <w:rtl w:val="0"/>
        </w:rPr>
        <w:t xml:space="preserve">Entre as realizações da Toyota do Brasil está o Etios Aibo – modelo hatch como veículo de carga - que incorpora princípios de economia circular em seu processo de produção, desde a seleção de materiais sustentáveis até a utilização de componentes que ganharam nova vida, como as redes de proteção lateral do veículo, produzidas a partir de resíduos de cintos de segurança.</w:t>
      </w:r>
    </w:p>
    <w:p w:rsidR="00000000" w:rsidDel="00000000" w:rsidP="00000000" w:rsidRDefault="00000000" w:rsidRPr="00000000" w14:paraId="0000000B">
      <w:pPr>
        <w:spacing w:after="0" w:line="360" w:lineRule="auto"/>
        <w:ind w:hanging="2"/>
        <w:jc w:val="both"/>
        <w:rPr>
          <w:rFonts w:ascii="Arial" w:cs="Arial" w:eastAsia="Arial" w:hAnsi="Arial"/>
        </w:rPr>
      </w:pPr>
      <w:bookmarkStart w:colFirst="0" w:colLast="0" w:name="_heading=h.3hzmekyb3vgy" w:id="5"/>
      <w:bookmarkEnd w:id="5"/>
      <w:r w:rsidDel="00000000" w:rsidR="00000000" w:rsidRPr="00000000">
        <w:rPr>
          <w:rtl w:val="0"/>
        </w:rPr>
      </w:r>
    </w:p>
    <w:p w:rsidR="00000000" w:rsidDel="00000000" w:rsidP="00000000" w:rsidRDefault="00000000" w:rsidRPr="00000000" w14:paraId="0000000C">
      <w:pPr>
        <w:spacing w:after="0" w:line="360" w:lineRule="auto"/>
        <w:jc w:val="both"/>
        <w:rPr>
          <w:rFonts w:ascii="Arial" w:cs="Arial" w:eastAsia="Arial" w:hAnsi="Arial"/>
        </w:rPr>
      </w:pPr>
      <w:bookmarkStart w:colFirst="0" w:colLast="0" w:name="_heading=h.uzvoul9zpzev" w:id="6"/>
      <w:bookmarkEnd w:id="6"/>
      <w:r w:rsidDel="00000000" w:rsidR="00000000" w:rsidRPr="00000000">
        <w:rPr>
          <w:rFonts w:ascii="Arial" w:cs="Arial" w:eastAsia="Arial" w:hAnsi="Arial"/>
          <w:rtl w:val="0"/>
        </w:rPr>
        <w:t xml:space="preserve">A parte interna do isolamento acústico do Corolla sedã também é uma das iniciativas de economia circular da companhia. Por meio desta ação, uniformes e EPIs (Equipamentos de Proteção Individual) que antes seriam descartados, foram transformados em novas peças para os carros. Aproximadamente 10 toneladas de materiais já foram reutilizadas. Esses são exemplos concretos do compromisso da montadora em adotar práticas sustentáveis em toda a cadeia de produção.</w:t>
      </w:r>
    </w:p>
    <w:p w:rsidR="00000000" w:rsidDel="00000000" w:rsidP="00000000" w:rsidRDefault="00000000" w:rsidRPr="00000000" w14:paraId="0000000D">
      <w:pPr>
        <w:spacing w:after="0" w:line="360" w:lineRule="auto"/>
        <w:jc w:val="both"/>
        <w:rPr>
          <w:rFonts w:ascii="Arial" w:cs="Arial" w:eastAsia="Arial" w:hAnsi="Arial"/>
        </w:rPr>
      </w:pPr>
      <w:bookmarkStart w:colFirst="0" w:colLast="0" w:name="_heading=h.ec15ue4v358" w:id="7"/>
      <w:bookmarkEnd w:id="7"/>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rPr>
      </w:pPr>
      <w:bookmarkStart w:colFirst="0" w:colLast="0" w:name="_heading=h.ojpr4w3kmtzd" w:id="8"/>
      <w:bookmarkEnd w:id="8"/>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360" w:lineRule="auto"/>
        <w:jc w:val="both"/>
        <w:rPr>
          <w:rFonts w:ascii="Arial" w:cs="Arial" w:eastAsia="Arial" w:hAnsi="Arial"/>
        </w:rPr>
      </w:pPr>
      <w:bookmarkStart w:colFirst="0" w:colLast="0" w:name="_heading=h.v90c3j2d8ei3" w:id="9"/>
      <w:bookmarkEnd w:id="9"/>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rPr>
      </w:pPr>
      <w:bookmarkStart w:colFirst="0" w:colLast="0" w:name="_heading=h.3q2xzxyouvzn" w:id="10"/>
      <w:bookmarkEnd w:id="10"/>
      <w:r w:rsidDel="00000000" w:rsidR="00000000" w:rsidRPr="00000000">
        <w:rPr>
          <w:rFonts w:ascii="Arial" w:cs="Arial" w:eastAsia="Arial" w:hAnsi="Arial"/>
          <w:rtl w:val="0"/>
        </w:rPr>
        <w:t xml:space="preserve">Uma iniciativa mais recente acontece em parceria com um de seus fornecedores, a Borkar - Acessórios Automotivos Originais, resultando em um processo inovador que permite o reaproveitamento do sealer, utilizado na vedação das juntas de carroceria, na fabricação de tapetes para veículos. Com essa iniciativa, aproximadamente 1,7 tonelada por mês de material, que antes seria destinado ao coprocessamento, ganha nova vida, retornando aos veículos como tapetes. Desde o início do projeto, mais de 24,4 mil jogos de tapetes já foram produzidos com o conceito de economia circular. O projeto, que teve início em Sorocaba (SP), também está sendo aplicado na fábrica de Indaiatuba (SP), ampliando seu impacto positivo na redução do desperdício e no fechamento do ciclo produtivo.</w:t>
      </w:r>
    </w:p>
    <w:p w:rsidR="00000000" w:rsidDel="00000000" w:rsidP="00000000" w:rsidRDefault="00000000" w:rsidRPr="00000000" w14:paraId="00000011">
      <w:pPr>
        <w:spacing w:after="0" w:line="360" w:lineRule="auto"/>
        <w:jc w:val="both"/>
        <w:rPr>
          <w:rFonts w:ascii="Arial" w:cs="Arial" w:eastAsia="Arial" w:hAnsi="Arial"/>
        </w:rPr>
      </w:pPr>
      <w:bookmarkStart w:colFirst="0" w:colLast="0" w:name="_heading=h.j1iae6vq3dri" w:id="11"/>
      <w:bookmarkEnd w:id="11"/>
      <w:r w:rsidDel="00000000" w:rsidR="00000000" w:rsidRPr="00000000">
        <w:rPr>
          <w:rtl w:val="0"/>
        </w:rPr>
      </w:r>
    </w:p>
    <w:p w:rsidR="00000000" w:rsidDel="00000000" w:rsidP="00000000" w:rsidRDefault="00000000" w:rsidRPr="00000000" w14:paraId="00000012">
      <w:pPr>
        <w:spacing w:after="0" w:line="360" w:lineRule="auto"/>
        <w:ind w:hanging="2"/>
        <w:jc w:val="both"/>
        <w:rPr>
          <w:rFonts w:ascii="Arial" w:cs="Arial" w:eastAsia="Arial" w:hAnsi="Arial"/>
        </w:rPr>
      </w:pPr>
      <w:bookmarkStart w:colFirst="0" w:colLast="0" w:name="_heading=h.4uky2zeeb1g5" w:id="12"/>
      <w:bookmarkEnd w:id="12"/>
      <w:r w:rsidDel="00000000" w:rsidR="00000000" w:rsidRPr="00000000">
        <w:rPr>
          <w:rFonts w:ascii="Arial" w:cs="Arial" w:eastAsia="Arial" w:hAnsi="Arial"/>
          <w:rtl w:val="0"/>
        </w:rPr>
        <w:t xml:space="preserve">Outro destaque é a colaboração com a Revo e a Techtools, que resultou no aproveitamento dos excedentes de alumínio do processo de produção dos motores na planta de Porto Feliz para a fabricação de próteses ortopédicas. Antes destinado à reciclagem, esse material agora recebe um novo propósito e contribui para melhorar a qualidade de vida de pessoas que as necessitam, demonstrando o compromisso da Toyota em criar impactos positivos tanto para o meio ambiente quanto para a sociedade.</w:t>
      </w:r>
    </w:p>
    <w:p w:rsidR="00000000" w:rsidDel="00000000" w:rsidP="00000000" w:rsidRDefault="00000000" w:rsidRPr="00000000" w14:paraId="00000013">
      <w:pPr>
        <w:spacing w:after="0" w:line="360" w:lineRule="auto"/>
        <w:ind w:hanging="2"/>
        <w:jc w:val="both"/>
        <w:rPr>
          <w:rFonts w:ascii="Arial" w:cs="Arial" w:eastAsia="Arial" w:hAnsi="Arial"/>
        </w:rPr>
      </w:pPr>
      <w:bookmarkStart w:colFirst="0" w:colLast="0" w:name="_heading=h.xvy6vn9nlszj" w:id="13"/>
      <w:bookmarkEnd w:id="13"/>
      <w:r w:rsidDel="00000000" w:rsidR="00000000" w:rsidRPr="00000000">
        <w:rPr>
          <w:rtl w:val="0"/>
        </w:rPr>
      </w:r>
    </w:p>
    <w:p w:rsidR="00000000" w:rsidDel="00000000" w:rsidP="00000000" w:rsidRDefault="00000000" w:rsidRPr="00000000" w14:paraId="00000014">
      <w:pPr>
        <w:spacing w:after="0" w:line="360" w:lineRule="auto"/>
        <w:ind w:hanging="2"/>
        <w:jc w:val="both"/>
        <w:rPr>
          <w:rFonts w:ascii="Arial" w:cs="Arial" w:eastAsia="Arial" w:hAnsi="Arial"/>
        </w:rPr>
      </w:pPr>
      <w:bookmarkStart w:colFirst="0" w:colLast="0" w:name="_heading=h.lsqqubgf9jei" w:id="14"/>
      <w:bookmarkEnd w:id="14"/>
      <w:r w:rsidDel="00000000" w:rsidR="00000000" w:rsidRPr="00000000">
        <w:rPr>
          <w:rFonts w:ascii="Arial" w:cs="Arial" w:eastAsia="Arial" w:hAnsi="Arial"/>
          <w:rtl w:val="0"/>
        </w:rPr>
        <w:t xml:space="preserve">Esses projetos recentes se unem a outros, já longevos, como o projeto ReTornar, patrocinado pela Fundação Toyota do Brasil. A montadora e sua cadeia de fornecedores são ativas em doações de itens de produção que seriam descartados, por exemplo, antigos uniformes, tecidos automotivos, airbags e cintos de segurança. As doações são transformadas em belas mochilas, bolsas, roupas para pets e outros acessórios, por meio do trabalho de costureiras. Entre 2011 e 2022 o projeto reutilizou mais de 17,5 toneladas de resíduos, produzindo cerca de 105 mil produtos e impactando positivamente a vida de 1.640 pessoas. </w:t>
      </w:r>
    </w:p>
    <w:p w:rsidR="00000000" w:rsidDel="00000000" w:rsidP="00000000" w:rsidRDefault="00000000" w:rsidRPr="00000000" w14:paraId="00000015">
      <w:pPr>
        <w:spacing w:after="0" w:line="360" w:lineRule="auto"/>
        <w:ind w:hanging="2"/>
        <w:jc w:val="both"/>
        <w:rPr>
          <w:rFonts w:ascii="Arial" w:cs="Arial" w:eastAsia="Arial" w:hAnsi="Arial"/>
        </w:rPr>
      </w:pPr>
      <w:bookmarkStart w:colFirst="0" w:colLast="0" w:name="_heading=h.yjdsavbm4hq4" w:id="15"/>
      <w:bookmarkEnd w:id="15"/>
      <w:r w:rsidDel="00000000" w:rsidR="00000000" w:rsidRPr="00000000">
        <w:rPr>
          <w:rtl w:val="0"/>
        </w:rPr>
      </w:r>
    </w:p>
    <w:p w:rsidR="00000000" w:rsidDel="00000000" w:rsidP="00000000" w:rsidRDefault="00000000" w:rsidRPr="00000000" w14:paraId="00000016">
      <w:pPr>
        <w:spacing w:after="0" w:line="360" w:lineRule="auto"/>
        <w:ind w:hanging="2"/>
        <w:jc w:val="both"/>
        <w:rPr>
          <w:rFonts w:ascii="Arial" w:cs="Arial" w:eastAsia="Arial" w:hAnsi="Arial"/>
        </w:rPr>
      </w:pPr>
      <w:bookmarkStart w:colFirst="0" w:colLast="0" w:name="_heading=h.a8pac5z11eyy" w:id="16"/>
      <w:bookmarkEnd w:id="16"/>
      <w:r w:rsidDel="00000000" w:rsidR="00000000" w:rsidRPr="00000000">
        <w:rPr>
          <w:rtl w:val="0"/>
        </w:rPr>
      </w:r>
    </w:p>
    <w:p w:rsidR="00000000" w:rsidDel="00000000" w:rsidP="00000000" w:rsidRDefault="00000000" w:rsidRPr="00000000" w14:paraId="00000017">
      <w:pPr>
        <w:spacing w:after="0" w:line="360" w:lineRule="auto"/>
        <w:ind w:hanging="2"/>
        <w:jc w:val="both"/>
        <w:rPr>
          <w:rFonts w:ascii="Arial" w:cs="Arial" w:eastAsia="Arial" w:hAnsi="Arial"/>
        </w:rPr>
      </w:pPr>
      <w:bookmarkStart w:colFirst="0" w:colLast="0" w:name="_heading=h.p0fomuxd6ul4" w:id="17"/>
      <w:bookmarkEnd w:id="17"/>
      <w:r w:rsidDel="00000000" w:rsidR="00000000" w:rsidRPr="00000000">
        <w:rPr>
          <w:rFonts w:ascii="Arial" w:cs="Arial" w:eastAsia="Arial" w:hAnsi="Arial"/>
          <w:rtl w:val="0"/>
        </w:rPr>
        <w:t xml:space="preserve">O compromisso da Toyota com economia circular não é recente, no entanto, nesse ano, ganhou novos contornos, especialmente com as ações citadas. Para o futuro, a montadora tem o propósito de dobrar o número de projetos ativos em 2023.</w:t>
      </w:r>
    </w:p>
    <w:p w:rsidR="00000000" w:rsidDel="00000000" w:rsidP="00000000" w:rsidRDefault="00000000" w:rsidRPr="00000000" w14:paraId="00000018">
      <w:pPr>
        <w:spacing w:after="0" w:line="360" w:lineRule="auto"/>
        <w:ind w:hanging="2"/>
        <w:jc w:val="both"/>
        <w:rPr>
          <w:rFonts w:ascii="Arial" w:cs="Arial" w:eastAsia="Arial" w:hAnsi="Arial"/>
        </w:rPr>
      </w:pPr>
      <w:bookmarkStart w:colFirst="0" w:colLast="0" w:name="_heading=h.aqtbfu82jml9" w:id="18"/>
      <w:bookmarkEnd w:id="18"/>
      <w:r w:rsidDel="00000000" w:rsidR="00000000" w:rsidRPr="00000000">
        <w:rPr>
          <w:rtl w:val="0"/>
        </w:rPr>
      </w:r>
    </w:p>
    <w:p w:rsidR="00000000" w:rsidDel="00000000" w:rsidP="00000000" w:rsidRDefault="00000000" w:rsidRPr="00000000" w14:paraId="00000019">
      <w:pPr>
        <w:rPr>
          <w:rFonts w:ascii="Arial" w:cs="Arial" w:eastAsia="Arial" w:hAnsi="Arial"/>
        </w:rPr>
      </w:pPr>
      <w:bookmarkStart w:colFirst="0" w:colLast="0" w:name="_heading=h.mk92xdb2v4ln" w:id="19"/>
      <w:bookmarkEnd w:id="19"/>
      <w:r w:rsidDel="00000000" w:rsidR="00000000" w:rsidRPr="00000000">
        <w:rPr>
          <w:rtl w:val="0"/>
        </w:rPr>
      </w:r>
    </w:p>
    <w:p w:rsidR="00000000" w:rsidDel="00000000" w:rsidP="00000000" w:rsidRDefault="00000000" w:rsidRPr="00000000" w14:paraId="0000001A">
      <w:pPr>
        <w:rPr>
          <w:rFonts w:ascii="Arial" w:cs="Arial" w:eastAsia="Arial" w:hAnsi="Arial"/>
        </w:rPr>
      </w:pPr>
      <w:bookmarkStart w:colFirst="0" w:colLast="0" w:name="_heading=h.mk1n3sqxezq5" w:id="20"/>
      <w:bookmarkEnd w:id="20"/>
      <w:r w:rsidDel="00000000" w:rsidR="00000000" w:rsidRPr="00000000">
        <w:rPr>
          <w:rtl w:val="0"/>
        </w:rPr>
      </w:r>
    </w:p>
    <w:p w:rsidR="00000000" w:rsidDel="00000000" w:rsidP="00000000" w:rsidRDefault="00000000" w:rsidRPr="00000000" w14:paraId="0000001B">
      <w:pPr>
        <w:rPr>
          <w:rFonts w:ascii="Arial" w:cs="Arial" w:eastAsia="Arial" w:hAnsi="Arial"/>
        </w:rPr>
      </w:pPr>
      <w:bookmarkStart w:colFirst="0" w:colLast="0" w:name="_heading=h.vgy34xahv6xo" w:id="21"/>
      <w:bookmarkEnd w:id="21"/>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b w:val="1"/>
        </w:rPr>
      </w:pPr>
      <w:bookmarkStart w:colFirst="0" w:colLast="0" w:name="_heading=h.a33w8vctlmnc" w:id="22"/>
      <w:bookmarkEnd w:id="22"/>
      <w:r w:rsidDel="00000000" w:rsidR="00000000" w:rsidRPr="00000000">
        <w:rPr>
          <w:rFonts w:ascii="Arial" w:cs="Arial" w:eastAsia="Arial" w:hAnsi="Arial"/>
          <w:b w:val="1"/>
          <w:rtl w:val="0"/>
        </w:rPr>
        <w:t xml:space="preserve">Objetivos de Desenvolvimento Sustentável</w:t>
      </w:r>
    </w:p>
    <w:p w:rsidR="00000000" w:rsidDel="00000000" w:rsidP="00000000" w:rsidRDefault="00000000" w:rsidRPr="00000000" w14:paraId="0000001D">
      <w:pPr>
        <w:spacing w:after="0"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 divulgação deste material colabora diretamente para os seguintes Objetivos de Desenvolvimento Sustentável (ODS) da ONU:</w:t>
      </w:r>
      <w:r w:rsidDel="00000000" w:rsidR="00000000" w:rsidRPr="00000000">
        <w:rPr>
          <w:rtl w:val="0"/>
        </w:rPr>
      </w:r>
    </w:p>
    <w:tbl>
      <w:tblPr>
        <w:tblStyle w:val="Table1"/>
        <w:tblW w:w="8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0"/>
        <w:tblGridChange w:id="0">
          <w:tblGrid>
            <w:gridCol w:w="8400"/>
          </w:tblGrid>
        </w:tblGridChange>
      </w:tblGrid>
      <w:tr>
        <w:trPr>
          <w:cantSplit w:val="0"/>
          <w:trHeight w:val="5865"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E">
            <w:pPr>
              <w:spacing w:after="0" w:line="360" w:lineRule="auto"/>
              <w:jc w:val="both"/>
              <w:rPr>
                <w:rFonts w:ascii="Arial" w:cs="Arial" w:eastAsia="Arial" w:hAnsi="Arial"/>
                <w:sz w:val="24"/>
                <w:szCs w:val="24"/>
              </w:rPr>
            </w:pPr>
            <w:r w:rsidDel="00000000" w:rsidR="00000000" w:rsidRPr="00000000">
              <w:rPr>
                <w:rtl w:val="0"/>
              </w:rPr>
            </w:r>
          </w:p>
          <w:tbl>
            <w:tblPr>
              <w:tblStyle w:val="Table2"/>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2790"/>
              <w:gridCol w:w="2790"/>
              <w:tblGridChange w:id="0">
                <w:tblGrid>
                  <w:gridCol w:w="2790"/>
                  <w:gridCol w:w="2790"/>
                  <w:gridCol w:w="2790"/>
                </w:tblGrid>
              </w:tblGridChange>
            </w:tblGrid>
            <w:tr>
              <w:trPr>
                <w:cantSplit w:val="0"/>
                <w:trHeight w:val="2925"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1F">
                  <w:pPr>
                    <w:spacing w:after="0" w:line="360" w:lineRule="auto"/>
                    <w:jc w:val="both"/>
                    <w:rPr>
                      <w:rFonts w:ascii="Arial" w:cs="Arial" w:eastAsia="Arial" w:hAnsi="Arial"/>
                      <w:sz w:val="24"/>
                      <w:szCs w:val="24"/>
                    </w:rPr>
                  </w:pPr>
                  <w:r w:rsidDel="00000000" w:rsidR="00000000" w:rsidRPr="00000000">
                    <w:rPr>
                      <w:rtl w:val="0"/>
                    </w:rPr>
                  </w:r>
                </w:p>
                <w:tbl>
                  <w:tblPr>
                    <w:tblStyle w:val="Table3"/>
                    <w:tblW w:w="2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tblGridChange w:id="0">
                      <w:tblGrid>
                        <w:gridCol w:w="2760"/>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0">
                        <w:pPr>
                          <w:spacing w:after="0" w:line="319.0909090909091" w:lineRule="auto"/>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739900" cy="1739900"/>
                              <wp:effectExtent b="0" l="0" r="0" t="0"/>
                              <wp:docPr id="199114889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39900" cy="1739900"/>
                                      </a:xfrm>
                                      <a:prstGeom prst="rect"/>
                                      <a:ln/>
                                    </pic:spPr>
                                  </pic:pic>
                                </a:graphicData>
                              </a:graphic>
                            </wp:inline>
                          </w:drawing>
                        </w:r>
                        <w:r w:rsidDel="00000000" w:rsidR="00000000" w:rsidRPr="00000000">
                          <w:rPr>
                            <w:rtl w:val="0"/>
                          </w:rPr>
                        </w:r>
                      </w:p>
                      <w:tbl>
                        <w:tblPr>
                          <w:tblStyle w:val="Table4"/>
                          <w:tblW w:w="2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tblGridChange w:id="0">
                            <w:tblGrid>
                              <w:gridCol w:w="2730"/>
                            </w:tblGrid>
                          </w:tblGridChange>
                        </w:tblGrid>
                        <w:tr>
                          <w:trPr>
                            <w:cantSplit w:val="0"/>
                            <w:trHeight w:val="12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21">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22">
                        <w:pPr>
                          <w:spacing w:after="0" w:line="360" w:lineRule="auto"/>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23">
                  <w:pPr>
                    <w:spacing w:after="0" w:line="360" w:lineRule="auto"/>
                    <w:jc w:val="both"/>
                    <w:rPr>
                      <w:rFonts w:ascii="Arial" w:cs="Arial" w:eastAsia="Arial" w:hAnsi="Arial"/>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4">
                  <w:pPr>
                    <w:spacing w:after="0" w:line="360" w:lineRule="auto"/>
                    <w:jc w:val="both"/>
                    <w:rPr>
                      <w:rFonts w:ascii="Arial" w:cs="Arial" w:eastAsia="Arial" w:hAnsi="Arial"/>
                      <w:color w:val="222222"/>
                    </w:rPr>
                  </w:pPr>
                  <w:r w:rsidDel="00000000" w:rsidR="00000000" w:rsidRPr="00000000">
                    <w:rPr>
                      <w:rtl w:val="0"/>
                    </w:rPr>
                  </w:r>
                </w:p>
                <w:tbl>
                  <w:tblPr>
                    <w:tblStyle w:val="Table5"/>
                    <w:tblW w:w="2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tblGridChange w:id="0">
                      <w:tblGrid>
                        <w:gridCol w:w="2760"/>
                      </w:tblGrid>
                    </w:tblGridChange>
                  </w:tblGrid>
                  <w:tr>
                    <w:trPr>
                      <w:cantSplit w:val="0"/>
                      <w:trHeight w:val="2895"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5">
                        <w:pPr>
                          <w:spacing w:after="0" w:line="319.0909090909091" w:lineRule="auto"/>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1739900" cy="1739900"/>
                              <wp:effectExtent b="0" l="0" r="0" t="0"/>
                              <wp:docPr id="199114888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739900" cy="1739900"/>
                                      </a:xfrm>
                                      <a:prstGeom prst="rect"/>
                                      <a:ln/>
                                    </pic:spPr>
                                  </pic:pic>
                                </a:graphicData>
                              </a:graphic>
                            </wp:inline>
                          </w:drawing>
                        </w:r>
                        <w:r w:rsidDel="00000000" w:rsidR="00000000" w:rsidRPr="00000000">
                          <w:rPr>
                            <w:rtl w:val="0"/>
                          </w:rPr>
                        </w:r>
                      </w:p>
                      <w:tbl>
                        <w:tblPr>
                          <w:tblStyle w:val="Table6"/>
                          <w:tblW w:w="2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tblGridChange w:id="0">
                            <w:tblGrid>
                              <w:gridCol w:w="2730"/>
                            </w:tblGrid>
                          </w:tblGridChange>
                        </w:tblGrid>
                        <w:tr>
                          <w:trPr>
                            <w:cantSplit w:val="0"/>
                            <w:trHeight w:val="12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26">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27">
                        <w:pPr>
                          <w:spacing w:after="0" w:line="360" w:lineRule="auto"/>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28">
                  <w:pPr>
                    <w:spacing w:after="0" w:line="360" w:lineRule="auto"/>
                    <w:jc w:val="both"/>
                    <w:rPr>
                      <w:rFonts w:ascii="Arial" w:cs="Arial" w:eastAsia="Arial" w:hAnsi="Arial"/>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9">
                  <w:pPr>
                    <w:spacing w:after="0" w:line="360" w:lineRule="auto"/>
                    <w:jc w:val="both"/>
                    <w:rPr>
                      <w:rFonts w:ascii="Arial" w:cs="Arial" w:eastAsia="Arial" w:hAnsi="Arial"/>
                      <w:color w:val="222222"/>
                    </w:rPr>
                  </w:pPr>
                  <w:r w:rsidDel="00000000" w:rsidR="00000000" w:rsidRPr="00000000">
                    <w:rPr>
                      <w:rtl w:val="0"/>
                    </w:rPr>
                  </w:r>
                </w:p>
                <w:tbl>
                  <w:tblPr>
                    <w:tblStyle w:val="Table7"/>
                    <w:tblW w:w="2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tblGridChange w:id="0">
                      <w:tblGrid>
                        <w:gridCol w:w="2760"/>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A">
                        <w:pPr>
                          <w:spacing w:after="0" w:line="319.0909090909091" w:lineRule="auto"/>
                          <w:jc w:val="both"/>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1739900" cy="1739900"/>
                              <wp:effectExtent b="0" l="0" r="0" t="0"/>
                              <wp:docPr id="199114888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39900" cy="1739900"/>
                                      </a:xfrm>
                                      <a:prstGeom prst="rect"/>
                                      <a:ln/>
                                    </pic:spPr>
                                  </pic:pic>
                                </a:graphicData>
                              </a:graphic>
                            </wp:inline>
                          </w:drawing>
                        </w:r>
                        <w:r w:rsidDel="00000000" w:rsidR="00000000" w:rsidRPr="00000000">
                          <w:rPr>
                            <w:rtl w:val="0"/>
                          </w:rPr>
                        </w:r>
                      </w:p>
                      <w:tbl>
                        <w:tblPr>
                          <w:tblStyle w:val="Table8"/>
                          <w:tblW w:w="2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tblGridChange w:id="0">
                            <w:tblGrid>
                              <w:gridCol w:w="2730"/>
                            </w:tblGrid>
                          </w:tblGridChange>
                        </w:tblGrid>
                        <w:tr>
                          <w:trPr>
                            <w:cantSplit w:val="0"/>
                            <w:trHeight w:val="12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2B">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2C">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2D">
                  <w:pPr>
                    <w:spacing w:after="0" w:line="360" w:lineRule="auto"/>
                    <w:jc w:val="both"/>
                    <w:rPr>
                      <w:rFonts w:ascii="Arial" w:cs="Arial" w:eastAsia="Arial" w:hAnsi="Arial"/>
                      <w:color w:val="222222"/>
                    </w:rPr>
                  </w:pPr>
                  <w:r w:rsidDel="00000000" w:rsidR="00000000" w:rsidRPr="00000000">
                    <w:rPr>
                      <w:rtl w:val="0"/>
                    </w:rPr>
                  </w:r>
                </w:p>
              </w:tc>
            </w:tr>
            <w:tr>
              <w:trPr>
                <w:cantSplit w:val="0"/>
                <w:trHeight w:val="2895"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E">
                  <w:pPr>
                    <w:spacing w:after="0" w:line="360" w:lineRule="auto"/>
                    <w:jc w:val="both"/>
                    <w:rPr>
                      <w:rFonts w:ascii="Arial" w:cs="Arial" w:eastAsia="Arial" w:hAnsi="Arial"/>
                      <w:color w:val="222222"/>
                    </w:rPr>
                  </w:pPr>
                  <w:r w:rsidDel="00000000" w:rsidR="00000000" w:rsidRPr="00000000">
                    <w:rPr>
                      <w:rtl w:val="0"/>
                    </w:rPr>
                  </w:r>
                </w:p>
                <w:tbl>
                  <w:tblPr>
                    <w:tblStyle w:val="Table9"/>
                    <w:tblW w:w="2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tblGridChange w:id="0">
                      <w:tblGrid>
                        <w:gridCol w:w="2730"/>
                      </w:tblGrid>
                    </w:tblGridChange>
                  </w:tblGrid>
                  <w:tr>
                    <w:trPr>
                      <w:cantSplit w:val="0"/>
                      <w:trHeight w:val="2865"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2F">
                        <w:pPr>
                          <w:spacing w:after="0" w:line="319.0909090909091" w:lineRule="auto"/>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1714500" cy="1727200"/>
                              <wp:effectExtent b="0" l="0" r="0" t="0"/>
                              <wp:docPr id="199114889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14500" cy="1727200"/>
                                      </a:xfrm>
                                      <a:prstGeom prst="rect"/>
                                      <a:ln/>
                                    </pic:spPr>
                                  </pic:pic>
                                </a:graphicData>
                              </a:graphic>
                            </wp:inline>
                          </w:drawing>
                        </w:r>
                        <w:r w:rsidDel="00000000" w:rsidR="00000000" w:rsidRPr="00000000">
                          <w:rPr>
                            <w:rtl w:val="0"/>
                          </w:rPr>
                        </w:r>
                      </w:p>
                      <w:tbl>
                        <w:tblPr>
                          <w:tblStyle w:val="Table10"/>
                          <w:tblW w:w="2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tblGridChange w:id="0">
                            <w:tblGrid>
                              <w:gridCol w:w="2700"/>
                            </w:tblGrid>
                          </w:tblGridChange>
                        </w:tblGrid>
                        <w:tr>
                          <w:trPr>
                            <w:cantSplit w:val="0"/>
                            <w:trHeight w:val="12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30">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31">
                        <w:pPr>
                          <w:spacing w:after="0" w:line="360" w:lineRule="auto"/>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32">
                  <w:pPr>
                    <w:spacing w:after="0" w:line="360" w:lineRule="auto"/>
                    <w:jc w:val="both"/>
                    <w:rPr>
                      <w:rFonts w:ascii="Arial" w:cs="Arial" w:eastAsia="Arial" w:hAnsi="Arial"/>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33">
                  <w:pPr>
                    <w:spacing w:after="0" w:line="360" w:lineRule="auto"/>
                    <w:jc w:val="both"/>
                    <w:rPr>
                      <w:rFonts w:ascii="Arial" w:cs="Arial" w:eastAsia="Arial" w:hAnsi="Arial"/>
                      <w:color w:val="222222"/>
                    </w:rPr>
                  </w:pPr>
                  <w:r w:rsidDel="00000000" w:rsidR="00000000" w:rsidRPr="00000000">
                    <w:rPr>
                      <w:rtl w:val="0"/>
                    </w:rPr>
                  </w:r>
                </w:p>
                <w:tbl>
                  <w:tblPr>
                    <w:tblStyle w:val="Table11"/>
                    <w:tblW w:w="2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tblGridChange w:id="0">
                      <w:tblGrid>
                        <w:gridCol w:w="2715"/>
                      </w:tblGrid>
                    </w:tblGridChange>
                  </w:tblGrid>
                  <w:tr>
                    <w:trPr>
                      <w:cantSplit w:val="0"/>
                      <w:trHeight w:val="2715"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34">
                        <w:pPr>
                          <w:spacing w:after="0" w:line="319.0909090909091" w:lineRule="auto"/>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1701800" cy="1701800"/>
                              <wp:effectExtent b="0" l="0" r="0" t="0"/>
                              <wp:docPr id="199114889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701800" cy="1701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5">
                  <w:pPr>
                    <w:spacing w:after="0" w:line="360" w:lineRule="auto"/>
                    <w:jc w:val="both"/>
                    <w:rPr>
                      <w:rFonts w:ascii="Arial" w:cs="Arial" w:eastAsia="Arial" w:hAnsi="Arial"/>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36">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37">
            <w:pPr>
              <w:spacing w:after="0" w:line="360" w:lineRule="auto"/>
              <w:jc w:val="both"/>
              <w:rPr>
                <w:rFonts w:ascii="Arial" w:cs="Arial" w:eastAsia="Arial" w:hAnsi="Arial"/>
                <w:color w:val="222222"/>
              </w:rPr>
            </w:pPr>
            <w:r w:rsidDel="00000000" w:rsidR="00000000" w:rsidRPr="00000000">
              <w:rPr>
                <w:rtl w:val="0"/>
              </w:rPr>
            </w:r>
          </w:p>
        </w:tc>
      </w:tr>
    </w:tbl>
    <w:p w:rsidR="00000000" w:rsidDel="00000000" w:rsidP="00000000" w:rsidRDefault="00000000" w:rsidRPr="00000000" w14:paraId="00000038">
      <w:pPr>
        <w:spacing w:after="0" w:line="36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A">
      <w:pPr>
        <w:spacing w:after="0" w:line="36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_______________________________________________________________</w:t>
      </w:r>
    </w:p>
    <w:p w:rsidR="00000000" w:rsidDel="00000000" w:rsidP="00000000" w:rsidRDefault="00000000" w:rsidRPr="00000000" w14:paraId="0000003C">
      <w:pPr>
        <w:spacing w:after="0" w:line="360" w:lineRule="auto"/>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Sobre a Toyota do Brasil</w:t>
      </w:r>
    </w:p>
    <w:p w:rsidR="00000000" w:rsidDel="00000000" w:rsidP="00000000" w:rsidRDefault="00000000" w:rsidRPr="00000000" w14:paraId="0000003D">
      <w:pPr>
        <w:spacing w:after="0" w:line="36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 Toyota do Brasil está presente no País há 65 anos. Possui quatro unidades produtivas, localizadas em Indaiatuba, Sorocaba, Porto Feliz e São Bernardo do Campo,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w:t>
      </w:r>
    </w:p>
    <w:p w:rsidR="00000000" w:rsidDel="00000000" w:rsidP="00000000" w:rsidRDefault="00000000" w:rsidRPr="00000000" w14:paraId="0000003E">
      <w:pPr>
        <w:spacing w:after="0" w:line="360" w:lineRule="auto"/>
        <w:jc w:val="both"/>
        <w:rPr>
          <w:rFonts w:ascii="Arial" w:cs="Arial" w:eastAsia="Arial" w:hAnsi="Arial"/>
          <w:i w:val="1"/>
          <w:color w:val="222222"/>
          <w:sz w:val="18"/>
          <w:szCs w:val="18"/>
        </w:rPr>
      </w:pPr>
      <w:r w:rsidDel="00000000" w:rsidR="00000000" w:rsidRPr="00000000">
        <w:rPr>
          <w:rFonts w:ascii="Arial" w:cs="Arial" w:eastAsia="Arial" w:hAnsi="Arial"/>
          <w:i w:val="1"/>
          <w:color w:val="222222"/>
          <w:sz w:val="18"/>
          <w:szCs w:val="18"/>
          <w:rtl w:val="0"/>
        </w:rPr>
        <w:t xml:space="preserve">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w:t>
      </w:r>
    </w:p>
    <w:p w:rsidR="00000000" w:rsidDel="00000000" w:rsidP="00000000" w:rsidRDefault="00000000" w:rsidRPr="00000000" w14:paraId="0000003F">
      <w:pPr>
        <w:spacing w:after="0" w:line="360" w:lineRule="auto"/>
        <w:jc w:val="both"/>
        <w:rPr>
          <w:rFonts w:ascii="Arial" w:cs="Arial" w:eastAsia="Arial" w:hAnsi="Arial"/>
          <w:i w:val="1"/>
          <w:color w:val="222222"/>
          <w:sz w:val="18"/>
          <w:szCs w:val="18"/>
        </w:rPr>
      </w:pPr>
      <w:r w:rsidDel="00000000" w:rsidR="00000000" w:rsidRPr="00000000">
        <w:rPr>
          <w:rFonts w:ascii="Arial" w:cs="Arial" w:eastAsia="Arial" w:hAnsi="Arial"/>
          <w:i w:val="1"/>
          <w:color w:val="222222"/>
          <w:sz w:val="18"/>
          <w:szCs w:val="18"/>
          <w:rtl w:val="0"/>
        </w:rPr>
        <w:t xml:space="preserve">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os 17 Objetivos de Desenvolvimento Sustentável da ONU. Mais informações: </w:t>
      </w:r>
      <w:hyperlink r:id="rId12">
        <w:r w:rsidDel="00000000" w:rsidR="00000000" w:rsidRPr="00000000">
          <w:rPr>
            <w:rFonts w:ascii="Arial" w:cs="Arial" w:eastAsia="Arial" w:hAnsi="Arial"/>
            <w:i w:val="1"/>
            <w:color w:val="1155cc"/>
            <w:sz w:val="18"/>
            <w:szCs w:val="18"/>
            <w:u w:val="single"/>
            <w:rtl w:val="0"/>
          </w:rPr>
          <w:t xml:space="preserve">Toyota Global</w:t>
        </w:r>
      </w:hyperlink>
      <w:r w:rsidDel="00000000" w:rsidR="00000000" w:rsidRPr="00000000">
        <w:rPr>
          <w:rFonts w:ascii="Arial" w:cs="Arial" w:eastAsia="Arial" w:hAnsi="Arial"/>
          <w:i w:val="1"/>
          <w:color w:val="222222"/>
          <w:sz w:val="18"/>
          <w:szCs w:val="18"/>
          <w:rtl w:val="0"/>
        </w:rPr>
        <w:t xml:space="preserve"> e </w:t>
      </w:r>
      <w:hyperlink r:id="rId13">
        <w:r w:rsidDel="00000000" w:rsidR="00000000" w:rsidRPr="00000000">
          <w:rPr>
            <w:rFonts w:ascii="Arial" w:cs="Arial" w:eastAsia="Arial" w:hAnsi="Arial"/>
            <w:i w:val="1"/>
            <w:color w:val="1155cc"/>
            <w:sz w:val="18"/>
            <w:szCs w:val="18"/>
            <w:u w:val="single"/>
            <w:rtl w:val="0"/>
          </w:rPr>
          <w:t xml:space="preserve">Toyota do Brasil</w:t>
        </w:r>
      </w:hyperlink>
      <w:r w:rsidDel="00000000" w:rsidR="00000000" w:rsidRPr="00000000">
        <w:rPr>
          <w:rFonts w:ascii="Arial" w:cs="Arial" w:eastAsia="Arial" w:hAnsi="Arial"/>
          <w:i w:val="1"/>
          <w:color w:val="222222"/>
          <w:sz w:val="18"/>
          <w:szCs w:val="18"/>
          <w:rtl w:val="0"/>
        </w:rPr>
        <w:t xml:space="preserve">.</w:t>
      </w:r>
    </w:p>
    <w:p w:rsidR="00000000" w:rsidDel="00000000" w:rsidP="00000000" w:rsidRDefault="00000000" w:rsidRPr="00000000" w14:paraId="00000040">
      <w:pPr>
        <w:spacing w:after="0" w:line="360" w:lineRule="auto"/>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1">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Mais informações</w:t>
      </w:r>
    </w:p>
    <w:p w:rsidR="00000000" w:rsidDel="00000000" w:rsidP="00000000" w:rsidRDefault="00000000" w:rsidRPr="00000000" w14:paraId="00000042">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Toyota do Brasil – Departamento de Comunicação</w:t>
      </w:r>
    </w:p>
    <w:p w:rsidR="00000000" w:rsidDel="00000000" w:rsidP="00000000" w:rsidRDefault="00000000" w:rsidRPr="00000000" w14:paraId="00000043">
      <w:pPr>
        <w:spacing w:after="0" w:line="360" w:lineRule="auto"/>
        <w:jc w:val="both"/>
        <w:rPr>
          <w:rFonts w:ascii="Arial" w:cs="Arial" w:eastAsia="Arial" w:hAnsi="Arial"/>
        </w:rPr>
      </w:pPr>
      <w:r w:rsidDel="00000000" w:rsidR="00000000" w:rsidRPr="00000000">
        <w:rPr>
          <w:rFonts w:ascii="Arial" w:cs="Arial" w:eastAsia="Arial" w:hAnsi="Arial"/>
          <w:rtl w:val="0"/>
        </w:rPr>
        <w:t xml:space="preserve">Lilian Assis –</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color w:val="0000ff"/>
          <w:u w:val="single"/>
          <w:rtl w:val="0"/>
        </w:rPr>
        <w:t xml:space="preserve">lassis@toyota.com.br</w:t>
      </w:r>
      <w:r w:rsidDel="00000000" w:rsidR="00000000" w:rsidRPr="00000000">
        <w:rPr>
          <w:rtl w:val="0"/>
        </w:rPr>
      </w:r>
    </w:p>
    <w:p w:rsidR="00000000" w:rsidDel="00000000" w:rsidP="00000000" w:rsidRDefault="00000000" w:rsidRPr="00000000" w14:paraId="00000044">
      <w:pPr>
        <w:spacing w:after="0" w:line="360" w:lineRule="auto"/>
        <w:jc w:val="both"/>
        <w:rPr>
          <w:rFonts w:ascii="Arial" w:cs="Arial" w:eastAsia="Arial" w:hAnsi="Arial"/>
        </w:rPr>
      </w:pPr>
      <w:r w:rsidDel="00000000" w:rsidR="00000000" w:rsidRPr="00000000">
        <w:rPr>
          <w:rFonts w:ascii="Arial" w:cs="Arial" w:eastAsia="Arial" w:hAnsi="Arial"/>
          <w:rtl w:val="0"/>
        </w:rPr>
        <w:t xml:space="preserve">Kelly Buarque – </w:t>
      </w:r>
      <w:hyperlink r:id="rId14">
        <w:r w:rsidDel="00000000" w:rsidR="00000000" w:rsidRPr="00000000">
          <w:rPr>
            <w:rFonts w:ascii="Arial" w:cs="Arial" w:eastAsia="Arial" w:hAnsi="Arial"/>
            <w:color w:val="0000ff"/>
            <w:u w:val="single"/>
            <w:rtl w:val="0"/>
          </w:rPr>
          <w:t xml:space="preserve">kbuarque@toyota.com.br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360" w:lineRule="auto"/>
        <w:jc w:val="both"/>
        <w:rPr>
          <w:rFonts w:ascii="Arial" w:cs="Arial" w:eastAsia="Arial" w:hAnsi="Arial"/>
          <w:color w:val="0000ff"/>
          <w:u w:val="single"/>
        </w:rPr>
      </w:pPr>
      <w:r w:rsidDel="00000000" w:rsidR="00000000" w:rsidRPr="00000000">
        <w:rPr>
          <w:rFonts w:ascii="Arial" w:cs="Arial" w:eastAsia="Arial" w:hAnsi="Arial"/>
          <w:rtl w:val="0"/>
        </w:rPr>
        <w:t xml:space="preserve">Kessia Santos – </w:t>
      </w:r>
      <w:hyperlink r:id="rId15">
        <w:r w:rsidDel="00000000" w:rsidR="00000000" w:rsidRPr="00000000">
          <w:rPr>
            <w:rFonts w:ascii="Arial" w:cs="Arial" w:eastAsia="Arial" w:hAnsi="Arial"/>
            <w:color w:val="0000ff"/>
            <w:u w:val="single"/>
            <w:rtl w:val="0"/>
          </w:rPr>
          <w:t xml:space="preserve">kosantos@toyota.com.br</w:t>
        </w:r>
      </w:hyperlink>
      <w:r w:rsidDel="00000000" w:rsidR="00000000" w:rsidRPr="00000000">
        <w:rPr>
          <w:rtl w:val="0"/>
        </w:rPr>
      </w:r>
    </w:p>
    <w:p w:rsidR="00000000" w:rsidDel="00000000" w:rsidP="00000000" w:rsidRDefault="00000000" w:rsidRPr="00000000" w14:paraId="00000046">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360" w:lineRule="auto"/>
        <w:ind w:hanging="2"/>
        <w:jc w:val="both"/>
        <w:rPr>
          <w:rFonts w:ascii="Arial" w:cs="Arial" w:eastAsia="Arial" w:hAnsi="Arial"/>
          <w:b w:val="1"/>
          <w:color w:val="b0273b"/>
        </w:rPr>
      </w:pPr>
      <w:bookmarkStart w:colFirst="0" w:colLast="0" w:name="_heading=h.gjdgxs" w:id="23"/>
      <w:bookmarkEnd w:id="23"/>
      <w:r w:rsidDel="00000000" w:rsidR="00000000" w:rsidRPr="00000000">
        <w:rPr>
          <w:rFonts w:ascii="Arial" w:cs="Arial" w:eastAsia="Arial" w:hAnsi="Arial"/>
          <w:b w:val="1"/>
          <w:color w:val="b0273b"/>
          <w:rtl w:val="0"/>
        </w:rPr>
        <w:t xml:space="preserve">RPMA Comunicação</w:t>
      </w:r>
    </w:p>
    <w:p w:rsidR="00000000" w:rsidDel="00000000" w:rsidP="00000000" w:rsidRDefault="00000000" w:rsidRPr="00000000" w14:paraId="00000048">
      <w:pPr>
        <w:spacing w:after="0" w:line="360" w:lineRule="auto"/>
        <w:ind w:hanging="2"/>
        <w:jc w:val="both"/>
        <w:rPr>
          <w:rFonts w:ascii="Arial" w:cs="Arial" w:eastAsia="Arial" w:hAnsi="Arial"/>
          <w:b w:val="1"/>
          <w:color w:val="b0273b"/>
        </w:rPr>
      </w:pPr>
      <w:r w:rsidDel="00000000" w:rsidR="00000000" w:rsidRPr="00000000">
        <w:rPr>
          <w:rFonts w:ascii="Arial" w:cs="Arial" w:eastAsia="Arial" w:hAnsi="Arial"/>
          <w:color w:val="0000ff"/>
          <w:u w:val="single"/>
          <w:rtl w:val="0"/>
        </w:rPr>
        <w:t xml:space="preserve">toyota@rpmacomunicacao.com.br </w:t>
      </w:r>
      <w:r w:rsidDel="00000000" w:rsidR="00000000" w:rsidRPr="00000000">
        <w:rPr>
          <w:rtl w:val="0"/>
        </w:rPr>
      </w:r>
    </w:p>
    <w:p w:rsidR="00000000" w:rsidDel="00000000" w:rsidP="00000000" w:rsidRDefault="00000000" w:rsidRPr="00000000" w14:paraId="00000049">
      <w:pPr>
        <w:spacing w:after="0"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Guilherme Magna – (11) 98600-8988</w:t>
      </w:r>
    </w:p>
    <w:p w:rsidR="00000000" w:rsidDel="00000000" w:rsidP="00000000" w:rsidRDefault="00000000" w:rsidRPr="00000000" w14:paraId="0000004A">
      <w:pPr>
        <w:spacing w:after="0"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Leonardo de Araujo – (11) 96084-0473</w:t>
      </w:r>
    </w:p>
    <w:p w:rsidR="00000000" w:rsidDel="00000000" w:rsidP="00000000" w:rsidRDefault="00000000" w:rsidRPr="00000000" w14:paraId="0000004B">
      <w:pPr>
        <w:spacing w:after="0" w:line="360"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Cauê Malatesta - (11) 97200-7570</w:t>
      </w:r>
    </w:p>
    <w:p w:rsidR="00000000" w:rsidDel="00000000" w:rsidP="00000000" w:rsidRDefault="00000000" w:rsidRPr="00000000" w14:paraId="0000004C">
      <w:pPr>
        <w:spacing w:after="0" w:line="360" w:lineRule="auto"/>
        <w:jc w:val="both"/>
        <w:rPr>
          <w:rFonts w:ascii="Arial" w:cs="Arial" w:eastAsia="Arial" w:hAnsi="Arial"/>
          <w:sz w:val="24"/>
          <w:szCs w:val="24"/>
          <w:highlight w:val="yellow"/>
        </w:rPr>
      </w:pPr>
      <w:r w:rsidDel="00000000" w:rsidR="00000000" w:rsidRPr="00000000">
        <w:rPr>
          <w:rFonts w:ascii="Arial" w:cs="Arial" w:eastAsia="Arial" w:hAnsi="Arial"/>
          <w:b w:val="1"/>
          <w:color w:val="b0273b"/>
          <w:rtl w:val="0"/>
        </w:rPr>
        <w:t xml:space="preserve">Tel.: (11) 5501-4655 - www.rpmacomunicacao.com.br  </w:t>
      </w:r>
      <w:r w:rsidDel="00000000" w:rsidR="00000000" w:rsidRPr="00000000">
        <w:rPr>
          <w:rtl w:val="0"/>
        </w:rPr>
      </w:r>
    </w:p>
    <w:p w:rsidR="00000000" w:rsidDel="00000000" w:rsidP="00000000" w:rsidRDefault="00000000" w:rsidRPr="00000000" w14:paraId="0000004D">
      <w:pPr>
        <w:spacing w:after="0" w:line="360" w:lineRule="auto"/>
        <w:ind w:hanging="2"/>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4E">
      <w:pPr>
        <w:spacing w:after="0" w:line="360" w:lineRule="auto"/>
        <w:ind w:hanging="2"/>
        <w:jc w:val="both"/>
        <w:rPr>
          <w:rFonts w:ascii="Arial" w:cs="Arial" w:eastAsia="Arial" w:hAnsi="Arial"/>
          <w:sz w:val="24"/>
          <w:szCs w:val="24"/>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1676400</wp:posOffset>
              </wp:positionH>
              <wp:positionV relativeFrom="paragraph">
                <wp:posOffset>-660399</wp:posOffset>
              </wp:positionV>
              <wp:extent cx="1294071" cy="1248117"/>
              <wp:effectExtent b="0" l="0" r="0" t="0"/>
              <wp:wrapSquare wrapText="bothSides" distB="0" distT="0" distL="0" distR="0"/>
              <wp:docPr descr="• PUBLIC 公開" id="1991148883" name=""/>
              <a:graphic>
                <a:graphicData uri="http://schemas.microsoft.com/office/word/2010/wordprocessingShape">
                  <wps:wsp>
                    <wps:cNvSpPr/>
                    <wps:cNvPr id="2" name="Shape 2"/>
                    <wps:spPr>
                      <a:xfrm rot="375096">
                        <a:off x="5124068" y="3757458"/>
                        <a:ext cx="443865" cy="4508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1676400</wp:posOffset>
              </wp:positionH>
              <wp:positionV relativeFrom="paragraph">
                <wp:posOffset>-660399</wp:posOffset>
              </wp:positionV>
              <wp:extent cx="1294071" cy="1248117"/>
              <wp:effectExtent b="0" l="0" r="0" t="0"/>
              <wp:wrapSquare wrapText="bothSides" distB="0" distT="0" distL="0" distR="0"/>
              <wp:docPr descr="• PUBLIC 公開" id="1991148883" name="image8.png"/>
              <a:graphic>
                <a:graphicData uri="http://schemas.openxmlformats.org/drawingml/2006/picture">
                  <pic:pic>
                    <pic:nvPicPr>
                      <pic:cNvPr descr="• PUBLIC 公開" id="0" name="image8.png"/>
                      <pic:cNvPicPr preferRelativeResize="0"/>
                    </pic:nvPicPr>
                    <pic:blipFill>
                      <a:blip r:embed="rId1"/>
                      <a:srcRect/>
                      <a:stretch>
                        <a:fillRect/>
                      </a:stretch>
                    </pic:blipFill>
                    <pic:spPr>
                      <a:xfrm>
                        <a:off x="0" y="0"/>
                        <a:ext cx="1294071" cy="1248117"/>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-199994</wp:posOffset>
          </wp:positionV>
          <wp:extent cx="757237" cy="555307"/>
          <wp:effectExtent b="0" l="0" r="0" t="0"/>
          <wp:wrapSquare wrapText="bothSides" distB="114300" distT="114300" distL="114300" distR="114300"/>
          <wp:docPr id="1991148889"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-70443</wp:posOffset>
          </wp:positionH>
          <wp:positionV relativeFrom="paragraph">
            <wp:posOffset>-116154</wp:posOffset>
          </wp:positionV>
          <wp:extent cx="1468755" cy="467995"/>
          <wp:effectExtent b="0" l="0" r="0" t="0"/>
          <wp:wrapNone/>
          <wp:docPr id="1991148888"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199114888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1991148884" name="image9.png"/>
              <a:graphic>
                <a:graphicData uri="http://schemas.openxmlformats.org/drawingml/2006/picture">
                  <pic:pic>
                    <pic:nvPicPr>
                      <pic:cNvPr descr="• PUBLIC 公開" id="0" name="image9.png"/>
                      <pic:cNvPicPr preferRelativeResize="0"/>
                    </pic:nvPicPr>
                    <pic:blipFill>
                      <a:blip r:embed="rId1"/>
                      <a:srcRect/>
                      <a:stretch>
                        <a:fillRect/>
                      </a:stretch>
                    </pic:blipFill>
                    <pic:spPr>
                      <a:xfrm>
                        <a:off x="0" y="0"/>
                        <a:ext cx="691515" cy="69151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199114888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1991148885" name="image10.png"/>
              <a:graphic>
                <a:graphicData uri="http://schemas.openxmlformats.org/drawingml/2006/picture">
                  <pic:pic>
                    <pic:nvPicPr>
                      <pic:cNvPr descr="• PUBLIC 公開" id="0" name="image10.png"/>
                      <pic:cNvPicPr preferRelativeResize="0"/>
                    </pic:nvPicPr>
                    <pic:blipFill>
                      <a:blip r:embed="rId1"/>
                      <a:srcRect/>
                      <a:stretch>
                        <a:fillRect/>
                      </a:stretch>
                    </pic:blipFill>
                    <pic:spPr>
                      <a:xfrm>
                        <a:off x="0" y="0"/>
                        <a:ext cx="691515" cy="6915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table" w:styleId="TableNormalff4" w:customStyle="1">
    <w:name w:val="Table Normal"/>
    <w:tblPr>
      <w:tblCellMar>
        <w:top w:w="0.0" w:type="dxa"/>
        <w:left w:w="0.0" w:type="dxa"/>
        <w:bottom w:w="0.0" w:type="dxa"/>
        <w:right w:w="0.0" w:type="dxa"/>
      </w:tblCellMar>
    </w:tblPr>
  </w:style>
  <w:style w:type="table" w:styleId="TableNormalff5" w:customStyle="1">
    <w:name w:val="Table Normal"/>
    <w:tblPr>
      <w:tblCellMar>
        <w:top w:w="0.0" w:type="dxa"/>
        <w:left w:w="0.0" w:type="dxa"/>
        <w:bottom w:w="0.0" w:type="dxa"/>
        <w:right w:w="0.0" w:type="dxa"/>
      </w:tblCellMar>
    </w:tblPr>
  </w:style>
  <w:style w:type="table" w:styleId="TableNormalff6" w:customStyle="1">
    <w:name w:val="Table Normal"/>
    <w:tblPr>
      <w:tblCellMar>
        <w:top w:w="0.0" w:type="dxa"/>
        <w:left w:w="0.0" w:type="dxa"/>
        <w:bottom w:w="0.0" w:type="dxa"/>
        <w:right w:w="0.0" w:type="dxa"/>
      </w:tblCellMar>
    </w:tblPr>
  </w:style>
  <w:style w:type="table" w:styleId="TableNormalff7" w:customStyle="1">
    <w:name w:val="Table Normal"/>
    <w:tblPr>
      <w:tblCellMar>
        <w:top w:w="0.0" w:type="dxa"/>
        <w:left w:w="0.0" w:type="dxa"/>
        <w:bottom w:w="0.0" w:type="dxa"/>
        <w:right w:w="0.0" w:type="dxa"/>
      </w:tblCellMar>
    </w:tblPr>
  </w:style>
  <w:style w:type="table" w:styleId="TableNormalff8"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yperlink" Target="https://www.toyota.com.br/" TargetMode="External"/><Relationship Id="rId12" Type="http://schemas.openxmlformats.org/officeDocument/2006/relationships/hyperlink" Target="https://www.toyota-glob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kosantos@toyota.com.br" TargetMode="External"/><Relationship Id="rId14" Type="http://schemas.openxmlformats.org/officeDocument/2006/relationships/hyperlink" Target="mailto:kbuarque@toyota.com.br"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 Id="rId3"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F+m/fdlkNxra3fpJRiwBIvyYQ==">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2023-06-15T18:48:00Z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