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hanging="2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do Brasil patrocina projeto Encontro Cultural em Sorocaba </w:t>
      </w:r>
    </w:p>
    <w:p w:rsidR="00000000" w:rsidDel="00000000" w:rsidP="00000000" w:rsidRDefault="00000000" w:rsidRPr="00000000" w14:paraId="00000003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As apresentações são gratuitas e acontecem na histórica Praça Frei Baraúna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Abertura da temporada 2023 acontece no dia 27, com shows de Ricardo Herz e Pérolas Negras</w:t>
      </w:r>
    </w:p>
    <w:p w:rsidR="00000000" w:rsidDel="00000000" w:rsidP="00000000" w:rsidRDefault="00000000" w:rsidRPr="00000000" w14:paraId="00000006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São Paulo, maio de 2023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 </w:t>
      </w:r>
      <w:r w:rsidDel="00000000" w:rsidR="00000000" w:rsidRPr="00000000">
        <w:rPr>
          <w:rFonts w:ascii="Arial" w:cs="Arial" w:eastAsia="Arial" w:hAnsi="Arial"/>
          <w:rtl w:val="0"/>
        </w:rPr>
        <w:t xml:space="preserve">A Toyota do Brasil busca ampliar sua contribuição social por meio da cultura, e, nesse sentido, está apoiando a apresentação do projeto Encontro Cultural em Sorocaba (SP), através da Lei Federal de Incentivo à Cultura (Lei Rouanet). Essa iniciativa reforça o compromisso da Toyota em promover um ambiente positivo nas regiões onde a montadora está presente.</w:t>
      </w:r>
    </w:p>
    <w:p w:rsidR="00000000" w:rsidDel="00000000" w:rsidP="00000000" w:rsidRDefault="00000000" w:rsidRPr="00000000" w14:paraId="00000008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Otacilio Nascimento, gerente de Comunicação da Toyota do Brasil, destaca a importância da iniciativa. “O investimento em ações culturais como esta desempenha um papel fundamental na valorização da rica cultura e música brasileira, promovendo a preservação de tradições e proporcionando oportunidades para artistas e comunidades expressarem sua identidade cultural de maneira significativa”, afirma o executivo.</w:t>
      </w:r>
    </w:p>
    <w:p w:rsidR="00000000" w:rsidDel="00000000" w:rsidP="00000000" w:rsidRDefault="00000000" w:rsidRPr="00000000" w14:paraId="0000000A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às 16h30, subirá ao palco – montado em frente ao prédio da antiga Oficina Cultural Grande Otelo – uma referência do violino popular brasileiro, o Ricardo Herz Trio. Sua técnica leva ao instrumento o resfolego da sanfona, o ronco da rabeca e as belas melodias do choro tradicional e moderno. Com influências como Dominguinhos, Luiz Gonzaga, Egberto Gismonti e Jacob do Bandolim, o violinista mistura ritmos brasileiros, africanos e a improvisação do jazz. Em carreira solo, gravou discos e participou de projetos com artistas como Yamandu Costa, Dominguinhos, Nelson Ayres, Proveta, Orquestra Jazz Sinfônica e Orquestra Sinfônica de João Pessoa.</w:t>
      </w:r>
    </w:p>
    <w:p w:rsidR="00000000" w:rsidDel="00000000" w:rsidP="00000000" w:rsidRDefault="00000000" w:rsidRPr="00000000" w14:paraId="0000000C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às 18 h, o trio Alaíde Costa, Eliana Pittman e Rosa Marya Colin, as Pérolas Negras, fazem um show histórico, dedicado à reflexão sobre a participação e contribuição de compositoras e compositores negros na música brasileira. O repertório abrange gêneros e estilos diversos, de Cartola a Criolo, passando por Milton Nascimento, Candeia, Jorge Ben, Johnny Alf, Cartola, Martinho da Vila, Gilberto Gil, Tim Maia, Luiz Melodia, Djavan, Paulinho da Viola, Ataulfo Alves e outros.</w:t>
      </w:r>
    </w:p>
    <w:p w:rsidR="00000000" w:rsidDel="00000000" w:rsidP="00000000" w:rsidRDefault="00000000" w:rsidRPr="00000000" w14:paraId="0000000E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sua primeira edição, o Encontro Cultural já trouxe à cidade mais de 400 apresentações gratuitas, com grandes artistas da música brasileira, ao longo de sua jornada. O projeto permanece com a função e o talento de reverenciar a brasilidade e variedade musical do Brasil, junto com a qualidade das escolhas artísticas. “Esse sempre foi o conceito que pautou o projeto desde a sua criação, em 2005, e segue agora para a sua 15ª temporada, trazendo a diversidade atual na música e todas as suas conexões, abrangendo diversas gerações”, explica Almeida.</w:t>
      </w:r>
    </w:p>
    <w:p w:rsidR="00000000" w:rsidDel="00000000" w:rsidP="00000000" w:rsidRDefault="00000000" w:rsidRPr="00000000" w14:paraId="00000010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evento faz parte de uma série de ações da Toyota que contará neste ano com 13 projetos incentivados espalhados pelas cidades com a presença da marca. Todos estão conectados com temas como mobilidade, diversidade, cultura, educação, sustentabilidade e esportes, com um investimento total de R$ 13 milhões e a expectativa de impactar mais de 2 milhões de pessoas.</w:t>
      </w:r>
    </w:p>
    <w:p w:rsidR="00000000" w:rsidDel="00000000" w:rsidP="00000000" w:rsidRDefault="00000000" w:rsidRPr="00000000" w14:paraId="00000012">
      <w:pPr>
        <w:spacing w:after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1092200" cy="1092200"/>
            <wp:effectExtent b="0" l="0" r="0" t="0"/>
            <wp:docPr id="18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</w:rPr>
        <w:drawing>
          <wp:inline distB="114300" distT="114300" distL="114300" distR="114300">
            <wp:extent cx="1135200" cy="1109400"/>
            <wp:effectExtent b="0" l="0" r="0" t="0"/>
            <wp:docPr id="18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5200" cy="110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Sobre a Toyota do Brasil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A Toyota é a montadora líder em eletrificação no mundo: desde 1997 já foram comercializadas mais de 20 milhões de automóveis mais limpos, sejam modelos híbridos, híbridos flex, híbridos plug-in, 100% a bateria ou movidos a hidrogênio. 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</w:t>
      </w:r>
      <w:r w:rsidDel="00000000" w:rsidR="00000000" w:rsidRPr="00000000">
        <w:rPr>
          <w:rFonts w:ascii="Arial" w:cs="Arial" w:eastAsia="Arial" w:hAnsi="Arial"/>
          <w:i w:val="1"/>
          <w:color w:val="222222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) e, para tanto, está comprometida em desenvolver carros cada vez melhores e mais seguros, além de avançar nas soluções de mobilidade. Junto com a Fundação Toyota do Brasil, tem iniciativas que repercutem os 17 Objetivos de Desenvolvimento Sustentável da ONU. Mais informações: 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e 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lassis@toyota.com.br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Kelly Buarque –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Kessia Santos –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27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9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A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Tel.: (11) 5501-4655</w:t>
      </w:r>
    </w:p>
    <w:p w:rsidR="00000000" w:rsidDel="00000000" w:rsidP="00000000" w:rsidRDefault="00000000" w:rsidRPr="00000000" w14:paraId="0000002B">
      <w:pPr>
        <w:spacing w:after="0" w:line="360" w:lineRule="auto"/>
        <w:ind w:hanging="2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www.rpmacomunicacao.com.br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hanging="2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-431799</wp:posOffset>
              </wp:positionV>
              <wp:extent cx="1133487" cy="1045835"/>
              <wp:effectExtent b="0" l="0" r="0" t="0"/>
              <wp:wrapSquare wrapText="bothSides" distB="0" distT="0" distL="0" distR="0"/>
              <wp:docPr descr="• PUBLIC 公開" id="17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-431799</wp:posOffset>
              </wp:positionV>
              <wp:extent cx="1133487" cy="1045835"/>
              <wp:effectExtent b="0" l="0" r="0" t="0"/>
              <wp:wrapSquare wrapText="bothSides" distB="0" distT="0" distL="0" distR="0"/>
              <wp:docPr descr="• PUBLIC 公開" id="177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3487" cy="1045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-199998</wp:posOffset>
          </wp:positionV>
          <wp:extent cx="757237" cy="555307"/>
          <wp:effectExtent b="0" l="0" r="0" t="0"/>
          <wp:wrapSquare wrapText="bothSides" distB="114300" distT="114300" distL="114300" distR="114300"/>
          <wp:docPr id="18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-70447</wp:posOffset>
          </wp:positionH>
          <wp:positionV relativeFrom="paragraph">
            <wp:posOffset>-116159</wp:posOffset>
          </wp:positionV>
          <wp:extent cx="1468755" cy="467995"/>
          <wp:effectExtent b="0" l="0" r="0" t="0"/>
          <wp:wrapNone/>
          <wp:docPr id="18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7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78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415" cy="653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7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79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415" cy="653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buarque@toyota.com.br" TargetMode="External"/><Relationship Id="rId10" Type="http://schemas.openxmlformats.org/officeDocument/2006/relationships/hyperlink" Target="https://www.toyota.com.br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kosanto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/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3oifSOCfYMoS9NQRVwLRwGgMjw==">CgMxLjAyCWguMzBqMHpsbDIIaC5namRneHM4AGpSCjVzdWdnZXN0SWRJbXBvcnQxOGMyNWIwMi1kZmUyLTQ5OWEtODAxNC0zZjRlNGZhMDllZWNfMxIZS2Vzc2lhIGRlIE9saXZlaXJhIFNhbnRvc2pTCjZzdWdnZXN0SWRJbXBvcnQxOGMyNWIwMi1kZmUyLTQ5OWEtODAxNC0zZjRlNGZhMDllZWNfMjkSGUtlc3NpYSBkZSBPbGl2ZWlyYSBTYW50b3NyITFGMS1PdzkzY0ItY04zQmlkdVF2SFg0TjZCY3JhUGdL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2023-05-19T18:26:00Z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