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FB" w:rsidRDefault="00944630">
      <w:pPr>
        <w:spacing w:before="240" w:after="240" w:line="276" w:lineRule="auto"/>
        <w:ind w:left="1" w:hanging="3"/>
        <w:jc w:val="center"/>
        <w:rPr>
          <w:rFonts w:ascii="Arial" w:eastAsia="Arial" w:hAnsi="Arial" w:cs="Arial"/>
          <w:b/>
          <w:sz w:val="28"/>
          <w:szCs w:val="28"/>
        </w:rPr>
      </w:pPr>
      <w:r>
        <w:rPr>
          <w:rFonts w:ascii="Arial" w:eastAsia="Arial" w:hAnsi="Arial" w:cs="Arial"/>
          <w:b/>
          <w:sz w:val="28"/>
          <w:szCs w:val="28"/>
        </w:rPr>
        <w:t xml:space="preserve">KINTO e 99 firmam parceria para testes de veículos híbridos </w:t>
      </w:r>
      <w:proofErr w:type="spellStart"/>
      <w:r>
        <w:rPr>
          <w:rFonts w:ascii="Arial" w:eastAsia="Arial" w:hAnsi="Arial" w:cs="Arial"/>
          <w:b/>
          <w:sz w:val="28"/>
          <w:szCs w:val="28"/>
        </w:rPr>
        <w:t>flex</w:t>
      </w:r>
      <w:proofErr w:type="spellEnd"/>
    </w:p>
    <w:p w:rsidR="00804AFB" w:rsidRDefault="00944630">
      <w:pPr>
        <w:numPr>
          <w:ilvl w:val="0"/>
          <w:numId w:val="1"/>
        </w:numPr>
        <w:spacing w:before="240" w:after="0" w:line="276" w:lineRule="auto"/>
        <w:ind w:left="0" w:hanging="2"/>
        <w:jc w:val="both"/>
        <w:rPr>
          <w:rFonts w:ascii="Arial" w:eastAsia="Arial" w:hAnsi="Arial" w:cs="Arial"/>
          <w:i/>
          <w:sz w:val="24"/>
          <w:szCs w:val="24"/>
        </w:rPr>
      </w:pPr>
      <w:r>
        <w:rPr>
          <w:rFonts w:ascii="Arial" w:eastAsia="Arial" w:hAnsi="Arial" w:cs="Arial"/>
          <w:i/>
          <w:sz w:val="24"/>
          <w:szCs w:val="24"/>
        </w:rPr>
        <w:t xml:space="preserve">Modelos Toyota Corolla Cross híbridos </w:t>
      </w:r>
      <w:proofErr w:type="spellStart"/>
      <w:r>
        <w:rPr>
          <w:rFonts w:ascii="Arial" w:eastAsia="Arial" w:hAnsi="Arial" w:cs="Arial"/>
          <w:i/>
          <w:sz w:val="24"/>
          <w:szCs w:val="24"/>
        </w:rPr>
        <w:t>flex</w:t>
      </w:r>
      <w:proofErr w:type="spellEnd"/>
      <w:r>
        <w:rPr>
          <w:rFonts w:ascii="Arial" w:eastAsia="Arial" w:hAnsi="Arial" w:cs="Arial"/>
          <w:i/>
          <w:sz w:val="24"/>
          <w:szCs w:val="24"/>
        </w:rPr>
        <w:t xml:space="preserve"> serão utilizados pelos motoristas parceiros do ‘</w:t>
      </w:r>
      <w:proofErr w:type="spellStart"/>
      <w:r>
        <w:rPr>
          <w:rFonts w:ascii="Arial" w:eastAsia="Arial" w:hAnsi="Arial" w:cs="Arial"/>
          <w:i/>
          <w:sz w:val="24"/>
          <w:szCs w:val="24"/>
        </w:rPr>
        <w:t>app</w:t>
      </w:r>
      <w:proofErr w:type="spellEnd"/>
      <w:r>
        <w:rPr>
          <w:rFonts w:ascii="Arial" w:eastAsia="Arial" w:hAnsi="Arial" w:cs="Arial"/>
          <w:i/>
          <w:sz w:val="24"/>
          <w:szCs w:val="24"/>
        </w:rPr>
        <w:t>’, em São Paulo</w:t>
      </w:r>
    </w:p>
    <w:p w:rsidR="00804AFB" w:rsidRDefault="00944630">
      <w:pPr>
        <w:numPr>
          <w:ilvl w:val="0"/>
          <w:numId w:val="1"/>
        </w:numPr>
        <w:spacing w:after="0" w:line="276" w:lineRule="auto"/>
        <w:ind w:left="0" w:hanging="2"/>
        <w:jc w:val="both"/>
        <w:rPr>
          <w:rFonts w:ascii="Arial" w:eastAsia="Arial" w:hAnsi="Arial" w:cs="Arial"/>
          <w:i/>
          <w:sz w:val="24"/>
          <w:szCs w:val="24"/>
        </w:rPr>
      </w:pPr>
      <w:r>
        <w:rPr>
          <w:rFonts w:ascii="Arial" w:eastAsia="Arial" w:hAnsi="Arial" w:cs="Arial"/>
          <w:i/>
          <w:sz w:val="24"/>
          <w:szCs w:val="24"/>
        </w:rPr>
        <w:t>Toyota é a pioneira nessa tecnologia no Brasil</w:t>
      </w:r>
    </w:p>
    <w:p w:rsidR="00804AFB" w:rsidRDefault="00944630">
      <w:pPr>
        <w:numPr>
          <w:ilvl w:val="0"/>
          <w:numId w:val="1"/>
        </w:numPr>
        <w:spacing w:after="240" w:line="276" w:lineRule="auto"/>
        <w:ind w:left="0" w:hanging="2"/>
        <w:jc w:val="both"/>
        <w:rPr>
          <w:rFonts w:ascii="Arial" w:eastAsia="Arial" w:hAnsi="Arial" w:cs="Arial"/>
          <w:i/>
          <w:sz w:val="24"/>
          <w:szCs w:val="24"/>
        </w:rPr>
      </w:pPr>
      <w:r>
        <w:rPr>
          <w:rFonts w:ascii="Arial" w:eastAsia="Arial" w:hAnsi="Arial" w:cs="Arial"/>
          <w:i/>
          <w:sz w:val="24"/>
          <w:szCs w:val="24"/>
        </w:rPr>
        <w:t xml:space="preserve">Parceria estratégica entre as empresas visa entender os impactos da tecnologia de veículos híbridos </w:t>
      </w:r>
      <w:proofErr w:type="spellStart"/>
      <w:r>
        <w:rPr>
          <w:rFonts w:ascii="Arial" w:eastAsia="Arial" w:hAnsi="Arial" w:cs="Arial"/>
          <w:i/>
          <w:sz w:val="24"/>
          <w:szCs w:val="24"/>
        </w:rPr>
        <w:t>flex</w:t>
      </w:r>
      <w:proofErr w:type="spellEnd"/>
      <w:r>
        <w:rPr>
          <w:rFonts w:ascii="Arial" w:eastAsia="Arial" w:hAnsi="Arial" w:cs="Arial"/>
          <w:i/>
          <w:sz w:val="24"/>
          <w:szCs w:val="24"/>
        </w:rPr>
        <w:t xml:space="preserve"> em alta rodagem e na experiência para motoristas e passageiros da 99</w:t>
      </w:r>
    </w:p>
    <w:p w:rsidR="00D50438" w:rsidRDefault="00D50438" w:rsidP="00D50438">
      <w:pPr>
        <w:spacing w:before="240" w:after="240" w:line="276" w:lineRule="auto"/>
        <w:ind w:left="0" w:hanging="2"/>
        <w:jc w:val="both"/>
        <w:rPr>
          <w:rFonts w:ascii="Arial" w:eastAsia="Arial" w:hAnsi="Arial" w:cs="Arial"/>
          <w:sz w:val="24"/>
          <w:szCs w:val="24"/>
        </w:rPr>
      </w:pPr>
    </w:p>
    <w:p w:rsidR="00D50438" w:rsidRDefault="00D50438" w:rsidP="00D50438">
      <w:pPr>
        <w:spacing w:before="240" w:after="240" w:line="276" w:lineRule="auto"/>
        <w:ind w:left="0" w:hanging="2"/>
        <w:jc w:val="both"/>
        <w:rPr>
          <w:rFonts w:ascii="Arial" w:eastAsia="Arial" w:hAnsi="Arial" w:cs="Arial"/>
          <w:sz w:val="24"/>
          <w:szCs w:val="24"/>
        </w:rPr>
      </w:pPr>
    </w:p>
    <w:p w:rsidR="00D50438" w:rsidRPr="00D50438" w:rsidRDefault="00D50438" w:rsidP="00D50438">
      <w:pPr>
        <w:spacing w:before="240" w:after="240" w:line="276" w:lineRule="auto"/>
        <w:ind w:left="0" w:hanging="2"/>
        <w:jc w:val="both"/>
        <w:rPr>
          <w:rFonts w:ascii="Arial" w:eastAsia="Arial" w:hAnsi="Arial" w:cs="Arial"/>
          <w:sz w:val="24"/>
          <w:szCs w:val="24"/>
        </w:rPr>
      </w:pPr>
      <w:bookmarkStart w:id="0" w:name="_GoBack"/>
      <w:bookmarkEnd w:id="0"/>
      <w:r w:rsidRPr="00D50438">
        <w:rPr>
          <w:rFonts w:ascii="Arial" w:eastAsia="Arial" w:hAnsi="Arial" w:cs="Arial"/>
          <w:sz w:val="24"/>
          <w:szCs w:val="24"/>
        </w:rPr>
        <w:t xml:space="preserve">A partir desta semana, o modelo Toyota Corolla Cross, nas versões híbridas </w:t>
      </w:r>
      <w:proofErr w:type="spellStart"/>
      <w:r w:rsidRPr="00D50438">
        <w:rPr>
          <w:rFonts w:ascii="Arial" w:eastAsia="Arial" w:hAnsi="Arial" w:cs="Arial"/>
          <w:sz w:val="24"/>
          <w:szCs w:val="24"/>
        </w:rPr>
        <w:t>flex</w:t>
      </w:r>
      <w:proofErr w:type="spellEnd"/>
      <w:r w:rsidRPr="00D50438">
        <w:rPr>
          <w:rFonts w:ascii="Arial" w:eastAsia="Arial" w:hAnsi="Arial" w:cs="Arial"/>
          <w:sz w:val="24"/>
          <w:szCs w:val="24"/>
        </w:rPr>
        <w:t xml:space="preserve">, passa a circular na cidade de São Paulo em fase de testes com motoristas da 99. A parceria entre a plataforma de tecnologia voltada à mobilidade urbana e conveniência, e a KINTO, empresa de mobilidade da Toyota, tem como objetivo gerar dados sobre a usabilidade de modelos híbridos </w:t>
      </w:r>
      <w:proofErr w:type="spellStart"/>
      <w:r w:rsidRPr="00D50438">
        <w:rPr>
          <w:rFonts w:ascii="Arial" w:eastAsia="Arial" w:hAnsi="Arial" w:cs="Arial"/>
          <w:sz w:val="24"/>
          <w:szCs w:val="24"/>
        </w:rPr>
        <w:t>flex</w:t>
      </w:r>
      <w:proofErr w:type="spellEnd"/>
      <w:r w:rsidRPr="00D50438">
        <w:rPr>
          <w:rFonts w:ascii="Arial" w:eastAsia="Arial" w:hAnsi="Arial" w:cs="Arial"/>
          <w:sz w:val="24"/>
          <w:szCs w:val="24"/>
        </w:rPr>
        <w:t xml:space="preserve"> para o transporte por aplicativo e promover mais conforto, sustentabilidade e tecnologia à mobilidade urbana. A parceria foi oficializada nesta terça-feira, 18 de abril, em cerimônia que reuniu representantes das duas empresas.</w:t>
      </w:r>
    </w:p>
    <w:p w:rsidR="00D50438" w:rsidRPr="00D50438" w:rsidRDefault="00D50438" w:rsidP="00D50438">
      <w:pPr>
        <w:spacing w:before="240" w:after="240" w:line="276" w:lineRule="auto"/>
        <w:ind w:left="0" w:hanging="2"/>
        <w:jc w:val="both"/>
        <w:rPr>
          <w:rFonts w:ascii="Arial" w:eastAsia="Arial" w:hAnsi="Arial" w:cs="Arial"/>
          <w:sz w:val="24"/>
          <w:szCs w:val="24"/>
        </w:rPr>
      </w:pPr>
      <w:r w:rsidRPr="00D50438">
        <w:rPr>
          <w:rFonts w:ascii="Arial" w:eastAsia="Arial" w:hAnsi="Arial" w:cs="Arial"/>
          <w:sz w:val="24"/>
          <w:szCs w:val="24"/>
        </w:rPr>
        <w:t>Com a iniciativa, a 99 expande os testes realizados na plataforma para modelos híbridos, reforçando seu compromisso de promover a democratização de veículos eletrificados no País. Há um ano, a plataforma realiza, de forma pioneira no Brasil, testes de modelos elétricos por meio da Aliança pela Mobilidade Sustentável, iniciativa liderada pela 99 e composta por outras 12 empresas do setor de transporte com o intuito de construir o futuro da mobilidade no Brasil.</w:t>
      </w:r>
    </w:p>
    <w:p w:rsidR="00D50438" w:rsidRPr="00D50438" w:rsidRDefault="00D50438" w:rsidP="00D50438">
      <w:pPr>
        <w:spacing w:before="240" w:after="240" w:line="276" w:lineRule="auto"/>
        <w:ind w:left="0" w:hanging="2"/>
        <w:jc w:val="both"/>
        <w:rPr>
          <w:rFonts w:ascii="Arial" w:eastAsia="Arial" w:hAnsi="Arial" w:cs="Arial"/>
          <w:sz w:val="24"/>
          <w:szCs w:val="24"/>
        </w:rPr>
      </w:pPr>
      <w:r w:rsidRPr="00D50438">
        <w:rPr>
          <w:rFonts w:ascii="Arial" w:eastAsia="Arial" w:hAnsi="Arial" w:cs="Arial"/>
          <w:sz w:val="24"/>
          <w:szCs w:val="24"/>
        </w:rPr>
        <w:t xml:space="preserve">"A parceria com a KINTO é fundamental para a maturidade do projeto da 99 para eletrificação da sua frota no Brasil. Os modelos híbridos são hoje porta de entrada para a eletrificação por não dependerem de infraestrutura adicional como carga externa e desempenham papel importante na redução de CO2, mas também nos custos com combustível, por exemplo, fator relevante para os motoristas de </w:t>
      </w:r>
      <w:proofErr w:type="spellStart"/>
      <w:r w:rsidRPr="00D50438">
        <w:rPr>
          <w:rFonts w:ascii="Arial" w:eastAsia="Arial" w:hAnsi="Arial" w:cs="Arial"/>
          <w:sz w:val="24"/>
          <w:szCs w:val="24"/>
        </w:rPr>
        <w:t>app</w:t>
      </w:r>
      <w:proofErr w:type="spellEnd"/>
      <w:r w:rsidRPr="00D50438">
        <w:rPr>
          <w:rFonts w:ascii="Arial" w:eastAsia="Arial" w:hAnsi="Arial" w:cs="Arial"/>
          <w:sz w:val="24"/>
          <w:szCs w:val="24"/>
        </w:rPr>
        <w:t xml:space="preserve">", comenta Fernando Pfeiffer, diretor de estratégia de </w:t>
      </w:r>
      <w:proofErr w:type="spellStart"/>
      <w:r w:rsidRPr="00D50438">
        <w:rPr>
          <w:rFonts w:ascii="Arial" w:eastAsia="Arial" w:hAnsi="Arial" w:cs="Arial"/>
          <w:sz w:val="24"/>
          <w:szCs w:val="24"/>
        </w:rPr>
        <w:t>DriverLAB</w:t>
      </w:r>
      <w:proofErr w:type="spellEnd"/>
      <w:r w:rsidRPr="00D50438">
        <w:rPr>
          <w:rFonts w:ascii="Arial" w:eastAsia="Arial" w:hAnsi="Arial" w:cs="Arial"/>
          <w:sz w:val="24"/>
          <w:szCs w:val="24"/>
        </w:rPr>
        <w:t xml:space="preserve"> na 99, um centro focado no desenvolvimento de novas soluções para condutores. "A partir dos testes conseguiremos mensurar o impacto da tecnologia no dia a dia dos motoristas de alta rodagem, além de entender como isso influencia na experiência do passageiro", complementa.</w:t>
      </w:r>
    </w:p>
    <w:p w:rsidR="00D50438" w:rsidRPr="00D50438" w:rsidRDefault="00D50438" w:rsidP="00D50438">
      <w:pPr>
        <w:spacing w:before="240" w:after="240" w:line="276" w:lineRule="auto"/>
        <w:ind w:left="0" w:hanging="2"/>
        <w:jc w:val="both"/>
        <w:rPr>
          <w:rFonts w:ascii="Arial" w:eastAsia="Arial" w:hAnsi="Arial" w:cs="Arial"/>
          <w:b/>
          <w:sz w:val="24"/>
          <w:szCs w:val="24"/>
        </w:rPr>
      </w:pPr>
      <w:r w:rsidRPr="00D50438">
        <w:rPr>
          <w:rFonts w:ascii="Arial" w:eastAsia="Arial" w:hAnsi="Arial" w:cs="Arial"/>
          <w:b/>
          <w:sz w:val="24"/>
          <w:szCs w:val="24"/>
        </w:rPr>
        <w:t>Participação KINTO</w:t>
      </w:r>
    </w:p>
    <w:p w:rsidR="00D50438" w:rsidRPr="00D50438" w:rsidRDefault="00D50438" w:rsidP="00D50438">
      <w:pPr>
        <w:spacing w:before="240" w:after="240" w:line="276" w:lineRule="auto"/>
        <w:ind w:left="0" w:hanging="2"/>
        <w:jc w:val="both"/>
        <w:rPr>
          <w:rFonts w:ascii="Arial" w:eastAsia="Arial" w:hAnsi="Arial" w:cs="Arial"/>
          <w:sz w:val="24"/>
          <w:szCs w:val="24"/>
        </w:rPr>
      </w:pPr>
      <w:r w:rsidRPr="00D50438">
        <w:rPr>
          <w:rFonts w:ascii="Arial" w:eastAsia="Arial" w:hAnsi="Arial" w:cs="Arial"/>
          <w:sz w:val="24"/>
          <w:szCs w:val="24"/>
        </w:rPr>
        <w:t xml:space="preserve">Durante o período de testes, a KINTO prestará todo e qualquer suporte para a 99, por meio de seu serviço KINTO </w:t>
      </w:r>
      <w:proofErr w:type="spellStart"/>
      <w:r w:rsidRPr="00D50438">
        <w:rPr>
          <w:rFonts w:ascii="Arial" w:eastAsia="Arial" w:hAnsi="Arial" w:cs="Arial"/>
          <w:sz w:val="24"/>
          <w:szCs w:val="24"/>
        </w:rPr>
        <w:t>One</w:t>
      </w:r>
      <w:proofErr w:type="spellEnd"/>
      <w:r w:rsidRPr="00D50438">
        <w:rPr>
          <w:rFonts w:ascii="Arial" w:eastAsia="Arial" w:hAnsi="Arial" w:cs="Arial"/>
          <w:sz w:val="24"/>
          <w:szCs w:val="24"/>
        </w:rPr>
        <w:t xml:space="preserve"> </w:t>
      </w:r>
      <w:proofErr w:type="spellStart"/>
      <w:r w:rsidRPr="00D50438">
        <w:rPr>
          <w:rFonts w:ascii="Arial" w:eastAsia="Arial" w:hAnsi="Arial" w:cs="Arial"/>
          <w:sz w:val="24"/>
          <w:szCs w:val="24"/>
        </w:rPr>
        <w:t>Fleet</w:t>
      </w:r>
      <w:proofErr w:type="spellEnd"/>
      <w:r w:rsidRPr="00D50438">
        <w:rPr>
          <w:rFonts w:ascii="Arial" w:eastAsia="Arial" w:hAnsi="Arial" w:cs="Arial"/>
          <w:sz w:val="24"/>
          <w:szCs w:val="24"/>
        </w:rPr>
        <w:t>, de gestão de frotas corporativas. Oferecido no</w:t>
      </w:r>
      <w:r>
        <w:rPr>
          <w:rFonts w:ascii="Arial" w:eastAsia="Arial" w:hAnsi="Arial" w:cs="Arial"/>
          <w:sz w:val="24"/>
          <w:szCs w:val="24"/>
        </w:rPr>
        <w:t xml:space="preserve"> País desde o final de 2020, o </w:t>
      </w:r>
      <w:r w:rsidRPr="00D50438">
        <w:rPr>
          <w:rFonts w:ascii="Arial" w:eastAsia="Arial" w:hAnsi="Arial" w:cs="Arial"/>
          <w:sz w:val="24"/>
          <w:szCs w:val="24"/>
        </w:rPr>
        <w:t xml:space="preserve">serviço contempla em geral documentação, seguro (total ou contra terceiros), telemetria, gestão de multa, manutenção preventiva e/ou corretiva, logística, troca </w:t>
      </w:r>
      <w:r w:rsidRPr="00D50438">
        <w:rPr>
          <w:rFonts w:ascii="Arial" w:eastAsia="Arial" w:hAnsi="Arial" w:cs="Arial"/>
          <w:sz w:val="24"/>
          <w:szCs w:val="24"/>
        </w:rPr>
        <w:lastRenderedPageBreak/>
        <w:t xml:space="preserve">de pneus, assistência e </w:t>
      </w:r>
      <w:proofErr w:type="spellStart"/>
      <w:r w:rsidRPr="00D50438">
        <w:rPr>
          <w:rFonts w:ascii="Arial" w:eastAsia="Arial" w:hAnsi="Arial" w:cs="Arial"/>
          <w:sz w:val="24"/>
          <w:szCs w:val="24"/>
        </w:rPr>
        <w:t>call</w:t>
      </w:r>
      <w:proofErr w:type="spellEnd"/>
      <w:r w:rsidRPr="00D50438">
        <w:rPr>
          <w:rFonts w:ascii="Arial" w:eastAsia="Arial" w:hAnsi="Arial" w:cs="Arial"/>
          <w:sz w:val="24"/>
          <w:szCs w:val="24"/>
        </w:rPr>
        <w:t xml:space="preserve"> center 24 horas, além de ferramentas e relatórios para gestão de frota e customização de veículos.</w:t>
      </w:r>
    </w:p>
    <w:p w:rsidR="00D50438" w:rsidRPr="00D50438" w:rsidRDefault="00D50438" w:rsidP="00D50438">
      <w:pPr>
        <w:spacing w:before="240" w:after="240" w:line="276" w:lineRule="auto"/>
        <w:ind w:left="0" w:hanging="2"/>
        <w:jc w:val="both"/>
        <w:rPr>
          <w:rFonts w:ascii="Arial" w:eastAsia="Arial" w:hAnsi="Arial" w:cs="Arial"/>
          <w:sz w:val="24"/>
          <w:szCs w:val="24"/>
        </w:rPr>
      </w:pPr>
      <w:r w:rsidRPr="00D50438">
        <w:rPr>
          <w:rFonts w:ascii="Arial" w:eastAsia="Arial" w:hAnsi="Arial" w:cs="Arial"/>
          <w:sz w:val="24"/>
          <w:szCs w:val="24"/>
        </w:rPr>
        <w:t xml:space="preserve">“A KINTO tem como missão ser o parceiro ideal de mobilidade dos nossos clientes. Unir esforços com a 99 em prol da mobilidade urbana é de extrema importância para nós. Estamos levando a mais clientes a possibilidade de se locomoverem como julgarem mais conveniente, além de contribuir para a </w:t>
      </w:r>
      <w:proofErr w:type="spellStart"/>
      <w:r w:rsidRPr="00D50438">
        <w:rPr>
          <w:rFonts w:ascii="Arial" w:eastAsia="Arial" w:hAnsi="Arial" w:cs="Arial"/>
          <w:sz w:val="24"/>
          <w:szCs w:val="24"/>
        </w:rPr>
        <w:t>descarbonização</w:t>
      </w:r>
      <w:proofErr w:type="spellEnd"/>
      <w:r w:rsidRPr="00D50438">
        <w:rPr>
          <w:rFonts w:ascii="Arial" w:eastAsia="Arial" w:hAnsi="Arial" w:cs="Arial"/>
          <w:sz w:val="24"/>
          <w:szCs w:val="24"/>
        </w:rPr>
        <w:t xml:space="preserve">. Queremos apresentar os benefícios da tecnologia híbrida </w:t>
      </w:r>
      <w:proofErr w:type="spellStart"/>
      <w:r w:rsidRPr="00D50438">
        <w:rPr>
          <w:rFonts w:ascii="Arial" w:eastAsia="Arial" w:hAnsi="Arial" w:cs="Arial"/>
          <w:sz w:val="24"/>
          <w:szCs w:val="24"/>
        </w:rPr>
        <w:t>flex</w:t>
      </w:r>
      <w:proofErr w:type="spellEnd"/>
      <w:r w:rsidRPr="00D50438">
        <w:rPr>
          <w:rFonts w:ascii="Arial" w:eastAsia="Arial" w:hAnsi="Arial" w:cs="Arial"/>
          <w:sz w:val="24"/>
          <w:szCs w:val="24"/>
        </w:rPr>
        <w:t xml:space="preserve"> para todos, na qual a Toyota é pioneira”, comenta Roger </w:t>
      </w:r>
      <w:proofErr w:type="spellStart"/>
      <w:r w:rsidRPr="00D50438">
        <w:rPr>
          <w:rFonts w:ascii="Arial" w:eastAsia="Arial" w:hAnsi="Arial" w:cs="Arial"/>
          <w:sz w:val="24"/>
          <w:szCs w:val="24"/>
        </w:rPr>
        <w:t>Armellini</w:t>
      </w:r>
      <w:proofErr w:type="spellEnd"/>
      <w:r w:rsidRPr="00D50438">
        <w:rPr>
          <w:rFonts w:ascii="Arial" w:eastAsia="Arial" w:hAnsi="Arial" w:cs="Arial"/>
          <w:sz w:val="24"/>
          <w:szCs w:val="24"/>
        </w:rPr>
        <w:t xml:space="preserve">, diretor comercial da KINTO e diretor de mobilidade, transformação digital e </w:t>
      </w:r>
      <w:proofErr w:type="spellStart"/>
      <w:r w:rsidRPr="00D50438">
        <w:rPr>
          <w:rFonts w:ascii="Arial" w:eastAsia="Arial" w:hAnsi="Arial" w:cs="Arial"/>
          <w:sz w:val="24"/>
          <w:szCs w:val="24"/>
        </w:rPr>
        <w:t>value</w:t>
      </w:r>
      <w:proofErr w:type="spellEnd"/>
      <w:r w:rsidRPr="00D50438">
        <w:rPr>
          <w:rFonts w:ascii="Arial" w:eastAsia="Arial" w:hAnsi="Arial" w:cs="Arial"/>
          <w:sz w:val="24"/>
          <w:szCs w:val="24"/>
        </w:rPr>
        <w:t xml:space="preserve"> </w:t>
      </w:r>
      <w:proofErr w:type="spellStart"/>
      <w:r w:rsidRPr="00D50438">
        <w:rPr>
          <w:rFonts w:ascii="Arial" w:eastAsia="Arial" w:hAnsi="Arial" w:cs="Arial"/>
          <w:sz w:val="24"/>
          <w:szCs w:val="24"/>
        </w:rPr>
        <w:t>chain</w:t>
      </w:r>
      <w:proofErr w:type="spellEnd"/>
      <w:r w:rsidRPr="00D50438">
        <w:rPr>
          <w:rFonts w:ascii="Arial" w:eastAsia="Arial" w:hAnsi="Arial" w:cs="Arial"/>
          <w:sz w:val="24"/>
          <w:szCs w:val="24"/>
        </w:rPr>
        <w:t xml:space="preserve"> da Toyota para América Latina e Caribe.</w:t>
      </w:r>
    </w:p>
    <w:p w:rsidR="00D50438" w:rsidRPr="00D50438" w:rsidRDefault="00D50438" w:rsidP="00D50438">
      <w:pPr>
        <w:spacing w:before="240" w:after="240" w:line="276" w:lineRule="auto"/>
        <w:ind w:left="0" w:hanging="2"/>
        <w:jc w:val="both"/>
        <w:rPr>
          <w:rFonts w:ascii="Arial" w:eastAsia="Arial" w:hAnsi="Arial" w:cs="Arial"/>
          <w:b/>
          <w:sz w:val="24"/>
          <w:szCs w:val="24"/>
        </w:rPr>
      </w:pPr>
      <w:r w:rsidRPr="00D50438">
        <w:rPr>
          <w:rFonts w:ascii="Arial" w:eastAsia="Arial" w:hAnsi="Arial" w:cs="Arial"/>
          <w:b/>
          <w:sz w:val="24"/>
          <w:szCs w:val="24"/>
        </w:rPr>
        <w:t xml:space="preserve">Tecnologia híbrida </w:t>
      </w:r>
      <w:proofErr w:type="spellStart"/>
      <w:r w:rsidRPr="00D50438">
        <w:rPr>
          <w:rFonts w:ascii="Arial" w:eastAsia="Arial" w:hAnsi="Arial" w:cs="Arial"/>
          <w:b/>
          <w:sz w:val="24"/>
          <w:szCs w:val="24"/>
        </w:rPr>
        <w:t>flex</w:t>
      </w:r>
      <w:proofErr w:type="spellEnd"/>
    </w:p>
    <w:p w:rsidR="00D50438" w:rsidRPr="00D50438" w:rsidRDefault="00D50438" w:rsidP="00D50438">
      <w:pPr>
        <w:spacing w:before="240" w:after="240" w:line="276" w:lineRule="auto"/>
        <w:ind w:left="0" w:hanging="2"/>
        <w:jc w:val="both"/>
        <w:rPr>
          <w:rFonts w:ascii="Arial" w:eastAsia="Arial" w:hAnsi="Arial" w:cs="Arial"/>
          <w:sz w:val="24"/>
          <w:szCs w:val="24"/>
        </w:rPr>
      </w:pPr>
      <w:r w:rsidRPr="00D50438">
        <w:rPr>
          <w:rFonts w:ascii="Arial" w:eastAsia="Arial" w:hAnsi="Arial" w:cs="Arial"/>
          <w:sz w:val="24"/>
          <w:szCs w:val="24"/>
        </w:rPr>
        <w:t xml:space="preserve">O consagrado sistema híbrido, que combina três motores, dois elétricos e um a combustão com tecnologia </w:t>
      </w:r>
      <w:proofErr w:type="spellStart"/>
      <w:r w:rsidRPr="00D50438">
        <w:rPr>
          <w:rFonts w:ascii="Arial" w:eastAsia="Arial" w:hAnsi="Arial" w:cs="Arial"/>
          <w:sz w:val="24"/>
          <w:szCs w:val="24"/>
        </w:rPr>
        <w:t>flex</w:t>
      </w:r>
      <w:proofErr w:type="spellEnd"/>
      <w:r w:rsidRPr="00D50438">
        <w:rPr>
          <w:rFonts w:ascii="Arial" w:eastAsia="Arial" w:hAnsi="Arial" w:cs="Arial"/>
          <w:sz w:val="24"/>
          <w:szCs w:val="24"/>
        </w:rPr>
        <w:t xml:space="preserve"> e transmissão </w:t>
      </w:r>
      <w:proofErr w:type="spellStart"/>
      <w:r w:rsidRPr="00D50438">
        <w:rPr>
          <w:rFonts w:ascii="Arial" w:eastAsia="Arial" w:hAnsi="Arial" w:cs="Arial"/>
          <w:sz w:val="24"/>
          <w:szCs w:val="24"/>
        </w:rPr>
        <w:t>hybrid</w:t>
      </w:r>
      <w:proofErr w:type="spellEnd"/>
      <w:r w:rsidRPr="00D50438">
        <w:rPr>
          <w:rFonts w:ascii="Arial" w:eastAsia="Arial" w:hAnsi="Arial" w:cs="Arial"/>
          <w:sz w:val="24"/>
          <w:szCs w:val="24"/>
        </w:rPr>
        <w:t xml:space="preserve"> </w:t>
      </w:r>
      <w:proofErr w:type="spellStart"/>
      <w:r w:rsidRPr="00D50438">
        <w:rPr>
          <w:rFonts w:ascii="Arial" w:eastAsia="Arial" w:hAnsi="Arial" w:cs="Arial"/>
          <w:sz w:val="24"/>
          <w:szCs w:val="24"/>
        </w:rPr>
        <w:t>transaxle</w:t>
      </w:r>
      <w:proofErr w:type="spellEnd"/>
      <w:r w:rsidRPr="00D50438">
        <w:rPr>
          <w:rFonts w:ascii="Arial" w:eastAsia="Arial" w:hAnsi="Arial" w:cs="Arial"/>
          <w:sz w:val="24"/>
          <w:szCs w:val="24"/>
        </w:rPr>
        <w:t xml:space="preserve">, foi apresentado oficialmente no Corolla sedã, em 2019, e também equipa o Corolla Cross, que participa dessa parceria. Sendo assim, ele se torna o segundo veículo híbrido </w:t>
      </w:r>
      <w:proofErr w:type="spellStart"/>
      <w:r w:rsidRPr="00D50438">
        <w:rPr>
          <w:rFonts w:ascii="Arial" w:eastAsia="Arial" w:hAnsi="Arial" w:cs="Arial"/>
          <w:sz w:val="24"/>
          <w:szCs w:val="24"/>
        </w:rPr>
        <w:t>flex</w:t>
      </w:r>
      <w:proofErr w:type="spellEnd"/>
      <w:r w:rsidRPr="00D50438">
        <w:rPr>
          <w:rFonts w:ascii="Arial" w:eastAsia="Arial" w:hAnsi="Arial" w:cs="Arial"/>
          <w:sz w:val="24"/>
          <w:szCs w:val="24"/>
        </w:rPr>
        <w:t xml:space="preserve"> do mundo produzido no Brasil. Segundo o INMETRO, o Corolla Cross híbrido é capaz de rodar 9,6 km/l na estrada e 11,8 km/l na cidade, quando abastecido com etanol.</w:t>
      </w:r>
    </w:p>
    <w:p w:rsidR="00D50438" w:rsidRPr="00D50438" w:rsidRDefault="00D50438" w:rsidP="00D50438">
      <w:pPr>
        <w:spacing w:before="240" w:after="240" w:line="276" w:lineRule="auto"/>
        <w:ind w:left="0" w:hanging="2"/>
        <w:jc w:val="both"/>
        <w:rPr>
          <w:rFonts w:ascii="Arial" w:eastAsia="Arial" w:hAnsi="Arial" w:cs="Arial"/>
          <w:sz w:val="24"/>
          <w:szCs w:val="24"/>
        </w:rPr>
      </w:pPr>
      <w:r w:rsidRPr="00D50438">
        <w:rPr>
          <w:rFonts w:ascii="Arial" w:eastAsia="Arial" w:hAnsi="Arial" w:cs="Arial"/>
          <w:sz w:val="24"/>
          <w:szCs w:val="24"/>
        </w:rPr>
        <w:t xml:space="preserve">“A Toyota se orgulha de seu pioneirismo e liderança na eletrificação do mercado automotivo brasileiro desde a chegada do </w:t>
      </w:r>
      <w:proofErr w:type="spellStart"/>
      <w:r w:rsidRPr="00D50438">
        <w:rPr>
          <w:rFonts w:ascii="Arial" w:eastAsia="Arial" w:hAnsi="Arial" w:cs="Arial"/>
          <w:sz w:val="24"/>
          <w:szCs w:val="24"/>
        </w:rPr>
        <w:t>Prius</w:t>
      </w:r>
      <w:proofErr w:type="spellEnd"/>
      <w:r w:rsidRPr="00D50438">
        <w:rPr>
          <w:rFonts w:ascii="Arial" w:eastAsia="Arial" w:hAnsi="Arial" w:cs="Arial"/>
          <w:sz w:val="24"/>
          <w:szCs w:val="24"/>
        </w:rPr>
        <w:t xml:space="preserve">, em 2013. Em 2022, os modelos eletrificados da Toyota representam mais de 50% de todas as vendas desse tipo de automóvel, segundo dados da Anfavea. Já em 2023 a montadora se consolida ainda mais na liderança com quase 5 mil unidades eletrificadas vendidas. Durante os quatro anos da tecnologia já foram somadas quase de 60 mil unidades comercializadas”, comenta Roberto </w:t>
      </w:r>
      <w:proofErr w:type="spellStart"/>
      <w:r w:rsidRPr="00D50438">
        <w:rPr>
          <w:rFonts w:ascii="Arial" w:eastAsia="Arial" w:hAnsi="Arial" w:cs="Arial"/>
          <w:sz w:val="24"/>
          <w:szCs w:val="24"/>
        </w:rPr>
        <w:t>Braun</w:t>
      </w:r>
      <w:proofErr w:type="spellEnd"/>
      <w:r w:rsidRPr="00D50438">
        <w:rPr>
          <w:rFonts w:ascii="Arial" w:eastAsia="Arial" w:hAnsi="Arial" w:cs="Arial"/>
          <w:sz w:val="24"/>
          <w:szCs w:val="24"/>
        </w:rPr>
        <w:t>, diretor de Relações Governamentais e Regulamentação da Toyota do Brasil.</w:t>
      </w:r>
    </w:p>
    <w:p w:rsidR="00D50438" w:rsidRPr="00D50438" w:rsidRDefault="00D50438" w:rsidP="00D50438">
      <w:pPr>
        <w:spacing w:before="240" w:after="240" w:line="276" w:lineRule="auto"/>
        <w:ind w:left="0" w:hanging="2"/>
        <w:jc w:val="both"/>
        <w:rPr>
          <w:rFonts w:ascii="Arial" w:eastAsia="Arial" w:hAnsi="Arial" w:cs="Arial"/>
          <w:sz w:val="24"/>
          <w:szCs w:val="24"/>
        </w:rPr>
      </w:pPr>
      <w:r w:rsidRPr="00D50438">
        <w:rPr>
          <w:rFonts w:ascii="Arial" w:eastAsia="Arial" w:hAnsi="Arial" w:cs="Arial"/>
          <w:sz w:val="24"/>
          <w:szCs w:val="24"/>
        </w:rPr>
        <w:t xml:space="preserve">O sistema híbrido </w:t>
      </w:r>
      <w:proofErr w:type="spellStart"/>
      <w:r w:rsidRPr="00D50438">
        <w:rPr>
          <w:rFonts w:ascii="Arial" w:eastAsia="Arial" w:hAnsi="Arial" w:cs="Arial"/>
          <w:sz w:val="24"/>
          <w:szCs w:val="24"/>
        </w:rPr>
        <w:t>flex</w:t>
      </w:r>
      <w:proofErr w:type="spellEnd"/>
      <w:r w:rsidRPr="00D50438">
        <w:rPr>
          <w:rFonts w:ascii="Arial" w:eastAsia="Arial" w:hAnsi="Arial" w:cs="Arial"/>
          <w:sz w:val="24"/>
          <w:szCs w:val="24"/>
        </w:rPr>
        <w:t xml:space="preserve"> da Toyota combina um motor 1.8L VVT-i 16V de ciclo Atkinson </w:t>
      </w:r>
      <w:proofErr w:type="spellStart"/>
      <w:r w:rsidRPr="00D50438">
        <w:rPr>
          <w:rFonts w:ascii="Arial" w:eastAsia="Arial" w:hAnsi="Arial" w:cs="Arial"/>
          <w:sz w:val="24"/>
          <w:szCs w:val="24"/>
        </w:rPr>
        <w:t>flex</w:t>
      </w:r>
      <w:proofErr w:type="spellEnd"/>
      <w:r w:rsidRPr="00D50438">
        <w:rPr>
          <w:rFonts w:ascii="Arial" w:eastAsia="Arial" w:hAnsi="Arial" w:cs="Arial"/>
          <w:sz w:val="24"/>
          <w:szCs w:val="24"/>
        </w:rPr>
        <w:t xml:space="preserve">, com 101 </w:t>
      </w:r>
      <w:proofErr w:type="spellStart"/>
      <w:r w:rsidRPr="00D50438">
        <w:rPr>
          <w:rFonts w:ascii="Arial" w:eastAsia="Arial" w:hAnsi="Arial" w:cs="Arial"/>
          <w:sz w:val="24"/>
          <w:szCs w:val="24"/>
        </w:rPr>
        <w:t>cv</w:t>
      </w:r>
      <w:proofErr w:type="spellEnd"/>
      <w:r w:rsidRPr="00D50438">
        <w:rPr>
          <w:rFonts w:ascii="Arial" w:eastAsia="Arial" w:hAnsi="Arial" w:cs="Arial"/>
          <w:sz w:val="24"/>
          <w:szCs w:val="24"/>
        </w:rPr>
        <w:t xml:space="preserve"> de potência a 5.200 giros quando abastecido com etanol, e 98 </w:t>
      </w:r>
      <w:proofErr w:type="spellStart"/>
      <w:r w:rsidRPr="00D50438">
        <w:rPr>
          <w:rFonts w:ascii="Arial" w:eastAsia="Arial" w:hAnsi="Arial" w:cs="Arial"/>
          <w:sz w:val="24"/>
          <w:szCs w:val="24"/>
        </w:rPr>
        <w:t>cv</w:t>
      </w:r>
      <w:proofErr w:type="spellEnd"/>
      <w:r w:rsidRPr="00D50438">
        <w:rPr>
          <w:rFonts w:ascii="Arial" w:eastAsia="Arial" w:hAnsi="Arial" w:cs="Arial"/>
          <w:sz w:val="24"/>
          <w:szCs w:val="24"/>
        </w:rPr>
        <w:t xml:space="preserve"> também a 5.200 rpm, quando abastecido com gasolina, e 14,5 </w:t>
      </w:r>
      <w:proofErr w:type="spellStart"/>
      <w:r w:rsidRPr="00D50438">
        <w:rPr>
          <w:rFonts w:ascii="Arial" w:eastAsia="Arial" w:hAnsi="Arial" w:cs="Arial"/>
          <w:sz w:val="24"/>
          <w:szCs w:val="24"/>
        </w:rPr>
        <w:t>kgf.m</w:t>
      </w:r>
      <w:proofErr w:type="spellEnd"/>
      <w:r w:rsidRPr="00D50438">
        <w:rPr>
          <w:rFonts w:ascii="Arial" w:eastAsia="Arial" w:hAnsi="Arial" w:cs="Arial"/>
          <w:sz w:val="24"/>
          <w:szCs w:val="24"/>
        </w:rPr>
        <w:t xml:space="preserve"> de torque a 3.600 rpm (abastecido com etanol ou gasolina). Esse motor funciona em conjunto com dois motores elétricos de 72 </w:t>
      </w:r>
      <w:proofErr w:type="spellStart"/>
      <w:r w:rsidRPr="00D50438">
        <w:rPr>
          <w:rFonts w:ascii="Arial" w:eastAsia="Arial" w:hAnsi="Arial" w:cs="Arial"/>
          <w:sz w:val="24"/>
          <w:szCs w:val="24"/>
        </w:rPr>
        <w:t>cv</w:t>
      </w:r>
      <w:proofErr w:type="spellEnd"/>
      <w:r w:rsidRPr="00D50438">
        <w:rPr>
          <w:rFonts w:ascii="Arial" w:eastAsia="Arial" w:hAnsi="Arial" w:cs="Arial"/>
          <w:sz w:val="24"/>
          <w:szCs w:val="24"/>
        </w:rPr>
        <w:t xml:space="preserve"> de potência e 16,6 </w:t>
      </w:r>
      <w:proofErr w:type="spellStart"/>
      <w:r w:rsidRPr="00D50438">
        <w:rPr>
          <w:rFonts w:ascii="Arial" w:eastAsia="Arial" w:hAnsi="Arial" w:cs="Arial"/>
          <w:sz w:val="24"/>
          <w:szCs w:val="24"/>
        </w:rPr>
        <w:t>kgf.m</w:t>
      </w:r>
      <w:proofErr w:type="spellEnd"/>
      <w:r w:rsidRPr="00D50438">
        <w:rPr>
          <w:rFonts w:ascii="Arial" w:eastAsia="Arial" w:hAnsi="Arial" w:cs="Arial"/>
          <w:sz w:val="24"/>
          <w:szCs w:val="24"/>
        </w:rPr>
        <w:t xml:space="preserve"> de torque, garantindo aceleração suave e excelente conforto ao rodar em qualquer tipo de condução.</w:t>
      </w:r>
    </w:p>
    <w:p w:rsidR="00D50438" w:rsidRPr="00D50438" w:rsidRDefault="00D50438" w:rsidP="00D50438">
      <w:pPr>
        <w:spacing w:before="240" w:after="240" w:line="276" w:lineRule="auto"/>
        <w:ind w:left="0" w:hanging="2"/>
        <w:jc w:val="both"/>
        <w:rPr>
          <w:rFonts w:ascii="Arial" w:eastAsia="Arial" w:hAnsi="Arial" w:cs="Arial"/>
          <w:b/>
          <w:sz w:val="24"/>
          <w:szCs w:val="24"/>
        </w:rPr>
      </w:pPr>
      <w:r w:rsidRPr="00D50438">
        <w:rPr>
          <w:rFonts w:ascii="Arial" w:eastAsia="Arial" w:hAnsi="Arial" w:cs="Arial"/>
          <w:sz w:val="24"/>
          <w:szCs w:val="24"/>
        </w:rPr>
        <w:t xml:space="preserve"> </w:t>
      </w:r>
      <w:r w:rsidRPr="00D50438">
        <w:rPr>
          <w:rFonts w:ascii="Arial" w:eastAsia="Arial" w:hAnsi="Arial" w:cs="Arial"/>
          <w:b/>
          <w:sz w:val="24"/>
          <w:szCs w:val="24"/>
        </w:rPr>
        <w:t xml:space="preserve">Híbridos Flex e </w:t>
      </w:r>
      <w:proofErr w:type="spellStart"/>
      <w:r w:rsidRPr="00D50438">
        <w:rPr>
          <w:rFonts w:ascii="Arial" w:eastAsia="Arial" w:hAnsi="Arial" w:cs="Arial"/>
          <w:b/>
          <w:sz w:val="24"/>
          <w:szCs w:val="24"/>
        </w:rPr>
        <w:t>Descarbonização</w:t>
      </w:r>
      <w:proofErr w:type="spellEnd"/>
    </w:p>
    <w:p w:rsidR="00D50438" w:rsidRPr="00D50438" w:rsidRDefault="00D50438" w:rsidP="00D50438">
      <w:pPr>
        <w:spacing w:before="240" w:after="240" w:line="276" w:lineRule="auto"/>
        <w:ind w:left="0" w:hanging="2"/>
        <w:jc w:val="both"/>
        <w:rPr>
          <w:rFonts w:ascii="Arial" w:eastAsia="Arial" w:hAnsi="Arial" w:cs="Arial"/>
          <w:sz w:val="24"/>
          <w:szCs w:val="24"/>
        </w:rPr>
      </w:pPr>
      <w:r w:rsidRPr="00D50438">
        <w:rPr>
          <w:rFonts w:ascii="Arial" w:eastAsia="Arial" w:hAnsi="Arial" w:cs="Arial"/>
          <w:sz w:val="24"/>
          <w:szCs w:val="24"/>
        </w:rPr>
        <w:t xml:space="preserve">Esse volume de veículos híbridos </w:t>
      </w:r>
      <w:proofErr w:type="spellStart"/>
      <w:r w:rsidRPr="00D50438">
        <w:rPr>
          <w:rFonts w:ascii="Arial" w:eastAsia="Arial" w:hAnsi="Arial" w:cs="Arial"/>
          <w:sz w:val="24"/>
          <w:szCs w:val="24"/>
        </w:rPr>
        <w:t>flex</w:t>
      </w:r>
      <w:proofErr w:type="spellEnd"/>
      <w:r w:rsidRPr="00D50438">
        <w:rPr>
          <w:rFonts w:ascii="Arial" w:eastAsia="Arial" w:hAnsi="Arial" w:cs="Arial"/>
          <w:sz w:val="24"/>
          <w:szCs w:val="24"/>
        </w:rPr>
        <w:t xml:space="preserve"> ajudou a evitar que mais de 10 mil toneladas de CO2 fossem emitidas na atmosfera no País. O valor de referência foi extraído do relatório de emissões veiculares do Estado de São Paulo, emitido pela CETESB no final de 2022. Quando comparado a um veículo convencional movido à gasolina, o híbrido </w:t>
      </w:r>
      <w:proofErr w:type="spellStart"/>
      <w:r w:rsidRPr="00D50438">
        <w:rPr>
          <w:rFonts w:ascii="Arial" w:eastAsia="Arial" w:hAnsi="Arial" w:cs="Arial"/>
          <w:sz w:val="24"/>
          <w:szCs w:val="24"/>
        </w:rPr>
        <w:t>flex</w:t>
      </w:r>
      <w:proofErr w:type="spellEnd"/>
      <w:r w:rsidRPr="00D50438">
        <w:rPr>
          <w:rFonts w:ascii="Arial" w:eastAsia="Arial" w:hAnsi="Arial" w:cs="Arial"/>
          <w:sz w:val="24"/>
          <w:szCs w:val="24"/>
        </w:rPr>
        <w:t xml:space="preserve"> emite cerca de 70% menos CO2, considerando todo o ciclo do poço à roda.</w:t>
      </w:r>
    </w:p>
    <w:p w:rsidR="00D50438" w:rsidRPr="00D50438" w:rsidRDefault="00D50438" w:rsidP="00D50438">
      <w:pPr>
        <w:spacing w:before="240" w:after="240" w:line="276" w:lineRule="auto"/>
        <w:ind w:left="0" w:hanging="2"/>
        <w:jc w:val="both"/>
        <w:rPr>
          <w:rFonts w:ascii="Arial" w:eastAsia="Arial" w:hAnsi="Arial" w:cs="Arial"/>
          <w:b/>
          <w:sz w:val="24"/>
          <w:szCs w:val="24"/>
        </w:rPr>
      </w:pPr>
      <w:r w:rsidRPr="00D50438">
        <w:rPr>
          <w:rFonts w:ascii="Arial" w:eastAsia="Arial" w:hAnsi="Arial" w:cs="Arial"/>
          <w:b/>
          <w:sz w:val="24"/>
          <w:szCs w:val="24"/>
        </w:rPr>
        <w:t xml:space="preserve"> Transporte por ‘</w:t>
      </w:r>
      <w:proofErr w:type="spellStart"/>
      <w:r w:rsidRPr="00D50438">
        <w:rPr>
          <w:rFonts w:ascii="Arial" w:eastAsia="Arial" w:hAnsi="Arial" w:cs="Arial"/>
          <w:b/>
          <w:sz w:val="24"/>
          <w:szCs w:val="24"/>
        </w:rPr>
        <w:t>app</w:t>
      </w:r>
      <w:proofErr w:type="spellEnd"/>
      <w:r w:rsidRPr="00D50438">
        <w:rPr>
          <w:rFonts w:ascii="Arial" w:eastAsia="Arial" w:hAnsi="Arial" w:cs="Arial"/>
          <w:b/>
          <w:sz w:val="24"/>
          <w:szCs w:val="24"/>
        </w:rPr>
        <w:t>’ deve liderar eletrificação no Brasil</w:t>
      </w:r>
    </w:p>
    <w:p w:rsidR="00D50438" w:rsidRPr="00D50438" w:rsidRDefault="00D50438" w:rsidP="00D50438">
      <w:pPr>
        <w:spacing w:before="240" w:after="240" w:line="276" w:lineRule="auto"/>
        <w:ind w:left="0" w:hanging="2"/>
        <w:jc w:val="both"/>
        <w:rPr>
          <w:rFonts w:ascii="Arial" w:eastAsia="Arial" w:hAnsi="Arial" w:cs="Arial"/>
          <w:sz w:val="24"/>
          <w:szCs w:val="24"/>
        </w:rPr>
      </w:pPr>
      <w:r w:rsidRPr="00D50438">
        <w:rPr>
          <w:rFonts w:ascii="Arial" w:eastAsia="Arial" w:hAnsi="Arial" w:cs="Arial"/>
          <w:sz w:val="24"/>
          <w:szCs w:val="24"/>
        </w:rPr>
        <w:lastRenderedPageBreak/>
        <w:t xml:space="preserve">As empresas de transporte por aplicativo e os seus motoristas parceiros devem liderar a adoção de carros eletrificados (elétricos e híbridos) no Brasil, de acordo com estudo realizado em 2022 pela </w:t>
      </w:r>
      <w:proofErr w:type="spellStart"/>
      <w:r w:rsidRPr="00D50438">
        <w:rPr>
          <w:rFonts w:ascii="Arial" w:eastAsia="Arial" w:hAnsi="Arial" w:cs="Arial"/>
          <w:sz w:val="24"/>
          <w:szCs w:val="24"/>
        </w:rPr>
        <w:t>McKinsey</w:t>
      </w:r>
      <w:proofErr w:type="spellEnd"/>
      <w:r w:rsidRPr="00D50438">
        <w:rPr>
          <w:rFonts w:ascii="Arial" w:eastAsia="Arial" w:hAnsi="Arial" w:cs="Arial"/>
          <w:sz w:val="24"/>
          <w:szCs w:val="24"/>
        </w:rPr>
        <w:t>, sobre o futuro da mobilidade sustentável no País. De acordo com os dados, até 2040, um total de 13 milhões de automóveis eletrificados devem estar em circulação no Brasil, representando 23% de toda a frota.</w:t>
      </w:r>
    </w:p>
    <w:p w:rsidR="00804AFB" w:rsidRDefault="00D50438" w:rsidP="00D50438">
      <w:pPr>
        <w:spacing w:before="240" w:after="240" w:line="276" w:lineRule="auto"/>
        <w:ind w:left="0" w:hanging="2"/>
        <w:jc w:val="both"/>
        <w:rPr>
          <w:rFonts w:ascii="Arial" w:eastAsia="Arial" w:hAnsi="Arial" w:cs="Arial"/>
          <w:sz w:val="24"/>
          <w:szCs w:val="24"/>
        </w:rPr>
      </w:pPr>
      <w:r w:rsidRPr="00D50438">
        <w:rPr>
          <w:rFonts w:ascii="Arial" w:eastAsia="Arial" w:hAnsi="Arial" w:cs="Arial"/>
          <w:sz w:val="24"/>
          <w:szCs w:val="24"/>
        </w:rPr>
        <w:t xml:space="preserve">Conforme a pesquisa da </w:t>
      </w:r>
      <w:proofErr w:type="spellStart"/>
      <w:r w:rsidRPr="00D50438">
        <w:rPr>
          <w:rFonts w:ascii="Arial" w:eastAsia="Arial" w:hAnsi="Arial" w:cs="Arial"/>
          <w:sz w:val="24"/>
          <w:szCs w:val="24"/>
        </w:rPr>
        <w:t>McKinsey</w:t>
      </w:r>
      <w:proofErr w:type="spellEnd"/>
      <w:r w:rsidRPr="00D50438">
        <w:rPr>
          <w:rFonts w:ascii="Arial" w:eastAsia="Arial" w:hAnsi="Arial" w:cs="Arial"/>
          <w:sz w:val="24"/>
          <w:szCs w:val="24"/>
        </w:rPr>
        <w:t xml:space="preserve">, essa categoria de veículos tem sintonia com o modelo de negócio do transporte por aplicativo uma vez que quem faz uso intenso do carro, como é o caso dos motoristas de aplicativo, o Custo Total de Propriedade (TCO) do veículo eletrificado deve se tornar equivalente ao do automóvel à combustão muito antes daqueles que utilizam o carro para fins pessoais.  Considerando os veículos de entrada, por exemplo, essa equivalência deve ocorrer já em 2023 para quem roda mais de 150 quilômetros por dia. Para aqueles que dirigem cerca de 30 quilômetros por dia, a </w:t>
      </w:r>
      <w:proofErr w:type="spellStart"/>
      <w:r w:rsidRPr="00D50438">
        <w:rPr>
          <w:rFonts w:ascii="Arial" w:eastAsia="Arial" w:hAnsi="Arial" w:cs="Arial"/>
          <w:sz w:val="24"/>
          <w:szCs w:val="24"/>
        </w:rPr>
        <w:t>equiparidade</w:t>
      </w:r>
      <w:proofErr w:type="spellEnd"/>
      <w:r w:rsidRPr="00D50438">
        <w:rPr>
          <w:rFonts w:ascii="Arial" w:eastAsia="Arial" w:hAnsi="Arial" w:cs="Arial"/>
          <w:sz w:val="24"/>
          <w:szCs w:val="24"/>
        </w:rPr>
        <w:t xml:space="preserve"> deve ser atingida somente em 2030.</w:t>
      </w:r>
    </w:p>
    <w:p w:rsidR="00804AFB" w:rsidRDefault="00944630">
      <w:pPr>
        <w:spacing w:before="240" w:after="240" w:line="276" w:lineRule="auto"/>
        <w:ind w:left="0" w:hanging="2"/>
        <w:jc w:val="both"/>
        <w:rPr>
          <w:rFonts w:ascii="Arial" w:eastAsia="Arial" w:hAnsi="Arial" w:cs="Arial"/>
          <w:b/>
          <w:sz w:val="24"/>
          <w:szCs w:val="24"/>
        </w:rPr>
      </w:pPr>
      <w:r>
        <w:rPr>
          <w:rFonts w:ascii="Arial" w:eastAsia="Arial" w:hAnsi="Arial" w:cs="Arial"/>
          <w:b/>
          <w:sz w:val="24"/>
          <w:szCs w:val="24"/>
        </w:rPr>
        <w:t>S</w:t>
      </w:r>
      <w:r>
        <w:rPr>
          <w:rFonts w:ascii="Arial" w:eastAsia="Arial" w:hAnsi="Arial" w:cs="Arial"/>
          <w:b/>
          <w:sz w:val="24"/>
          <w:szCs w:val="24"/>
        </w:rPr>
        <w:t>obre a 99</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A 99 é uma empresa de tecnologia que oferece conveniência e soluções para as necessidades dos brasileiros. O aplicativ</w:t>
      </w:r>
      <w:r>
        <w:rPr>
          <w:rFonts w:ascii="Arial" w:eastAsia="Arial" w:hAnsi="Arial" w:cs="Arial"/>
          <w:sz w:val="24"/>
          <w:szCs w:val="24"/>
        </w:rPr>
        <w:t xml:space="preserve">o faz parte da companhia global Didi </w:t>
      </w:r>
      <w:proofErr w:type="spellStart"/>
      <w:r>
        <w:rPr>
          <w:rFonts w:ascii="Arial" w:eastAsia="Arial" w:hAnsi="Arial" w:cs="Arial"/>
          <w:sz w:val="24"/>
          <w:szCs w:val="24"/>
        </w:rPr>
        <w:t>Chuxing</w:t>
      </w:r>
      <w:proofErr w:type="spellEnd"/>
      <w:r>
        <w:rPr>
          <w:rFonts w:ascii="Arial" w:eastAsia="Arial" w:hAnsi="Arial" w:cs="Arial"/>
          <w:sz w:val="24"/>
          <w:szCs w:val="24"/>
        </w:rPr>
        <w:t xml:space="preserve"> (“</w:t>
      </w:r>
      <w:proofErr w:type="spellStart"/>
      <w:r>
        <w:rPr>
          <w:rFonts w:ascii="Arial" w:eastAsia="Arial" w:hAnsi="Arial" w:cs="Arial"/>
          <w:sz w:val="24"/>
          <w:szCs w:val="24"/>
        </w:rPr>
        <w:t>DiDi</w:t>
      </w:r>
      <w:proofErr w:type="spellEnd"/>
      <w:r>
        <w:rPr>
          <w:rFonts w:ascii="Arial" w:eastAsia="Arial" w:hAnsi="Arial" w:cs="Arial"/>
          <w:sz w:val="24"/>
          <w:szCs w:val="24"/>
        </w:rPr>
        <w:t>”) e no Brasil conecta pessoas a serviços de mobilidade, pagamentos e entregas.</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 xml:space="preserve"> </w:t>
      </w:r>
    </w:p>
    <w:p w:rsidR="00804AFB" w:rsidRDefault="00944630">
      <w:pPr>
        <w:spacing w:before="240" w:after="240" w:line="276" w:lineRule="auto"/>
        <w:ind w:left="0" w:hanging="2"/>
        <w:jc w:val="both"/>
        <w:rPr>
          <w:rFonts w:ascii="Arial" w:eastAsia="Arial" w:hAnsi="Arial" w:cs="Arial"/>
          <w:b/>
          <w:sz w:val="24"/>
          <w:szCs w:val="24"/>
        </w:rPr>
      </w:pPr>
      <w:r>
        <w:rPr>
          <w:rFonts w:ascii="Arial" w:eastAsia="Arial" w:hAnsi="Arial" w:cs="Arial"/>
          <w:b/>
          <w:sz w:val="24"/>
          <w:szCs w:val="24"/>
        </w:rPr>
        <w:t>Sobre a Toyota do Brasil</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A Toyota do Brasil está presente no País há 65 anos. Possui quatro unidades produtivas, localizada</w:t>
      </w:r>
      <w:r>
        <w:rPr>
          <w:rFonts w:ascii="Arial" w:eastAsia="Arial" w:hAnsi="Arial" w:cs="Arial"/>
          <w:sz w:val="24"/>
          <w:szCs w:val="24"/>
        </w:rPr>
        <w:t xml:space="preserve">s em Indaiatuba, Sorocaba, Porto Feliz e São Bernardo do Campo, todas no Estado de São Paulo, e emprega cerca de 6 mil pessoas. Em 2020, lançou a KINTO, sua nova empresa de mobilidade, para oferecer serviços como aluguel de carros e gestão de frotas a uma </w:t>
      </w:r>
      <w:r>
        <w:rPr>
          <w:rFonts w:ascii="Arial" w:eastAsia="Arial" w:hAnsi="Arial" w:cs="Arial"/>
          <w:sz w:val="24"/>
          <w:szCs w:val="24"/>
        </w:rPr>
        <w:t>sociedade em transformação. Também reforçou sua marca GAZOO, por meio de iniciativas que desafiam a excelência de seus veículos. Tem como missão produzir felicidade para todos (</w:t>
      </w:r>
      <w:proofErr w:type="spellStart"/>
      <w:r>
        <w:rPr>
          <w:rFonts w:ascii="Arial" w:eastAsia="Arial" w:hAnsi="Arial" w:cs="Arial"/>
          <w:i/>
          <w:sz w:val="24"/>
          <w:szCs w:val="24"/>
        </w:rPr>
        <w:t>Happiness</w:t>
      </w:r>
      <w:proofErr w:type="spellEnd"/>
      <w:r>
        <w:rPr>
          <w:rFonts w:ascii="Arial" w:eastAsia="Arial" w:hAnsi="Arial" w:cs="Arial"/>
          <w:i/>
          <w:sz w:val="24"/>
          <w:szCs w:val="24"/>
        </w:rPr>
        <w:t xml:space="preserve"> for </w:t>
      </w:r>
      <w:proofErr w:type="spellStart"/>
      <w:r>
        <w:rPr>
          <w:rFonts w:ascii="Arial" w:eastAsia="Arial" w:hAnsi="Arial" w:cs="Arial"/>
          <w:i/>
          <w:sz w:val="24"/>
          <w:szCs w:val="24"/>
        </w:rPr>
        <w:t>All</w:t>
      </w:r>
      <w:proofErr w:type="spellEnd"/>
      <w:r>
        <w:rPr>
          <w:rFonts w:ascii="Arial" w:eastAsia="Arial" w:hAnsi="Arial" w:cs="Arial"/>
          <w:sz w:val="24"/>
          <w:szCs w:val="24"/>
        </w:rPr>
        <w:t xml:space="preserve">) e, para tanto, está comprometida em desenvolver carros cada </w:t>
      </w:r>
      <w:r>
        <w:rPr>
          <w:rFonts w:ascii="Arial" w:eastAsia="Arial" w:hAnsi="Arial" w:cs="Arial"/>
          <w:sz w:val="24"/>
          <w:szCs w:val="24"/>
        </w:rPr>
        <w:t>vez melhores e mais seguros, além de avançar nas soluções de mobilidade. Junto com a Fundação Toyota do Brasil, tem iniciativas que repercutem nos 17 Objetivos de Desenvolvimento Sustentável da ONU. Mais informações: www.toyota-global.com e www.toyota.com.</w:t>
      </w:r>
      <w:r>
        <w:rPr>
          <w:rFonts w:ascii="Arial" w:eastAsia="Arial" w:hAnsi="Arial" w:cs="Arial"/>
          <w:sz w:val="24"/>
          <w:szCs w:val="24"/>
        </w:rPr>
        <w:t>br.</w:t>
      </w:r>
    </w:p>
    <w:p w:rsidR="00804AFB" w:rsidRDefault="00944630">
      <w:pPr>
        <w:spacing w:before="240" w:after="240" w:line="276" w:lineRule="auto"/>
        <w:ind w:left="0" w:hanging="2"/>
        <w:jc w:val="both"/>
        <w:rPr>
          <w:rFonts w:ascii="Arial" w:eastAsia="Arial" w:hAnsi="Arial" w:cs="Arial"/>
          <w:b/>
          <w:sz w:val="24"/>
          <w:szCs w:val="24"/>
        </w:rPr>
      </w:pPr>
      <w:r>
        <w:rPr>
          <w:rFonts w:ascii="Arial" w:eastAsia="Arial" w:hAnsi="Arial" w:cs="Arial"/>
          <w:b/>
          <w:sz w:val="24"/>
          <w:szCs w:val="24"/>
        </w:rPr>
        <w:t xml:space="preserve"> </w:t>
      </w:r>
    </w:p>
    <w:p w:rsidR="00804AFB" w:rsidRDefault="00944630">
      <w:pPr>
        <w:spacing w:before="240" w:after="240" w:line="276" w:lineRule="auto"/>
        <w:ind w:left="0" w:hanging="2"/>
        <w:jc w:val="both"/>
        <w:rPr>
          <w:rFonts w:ascii="Arial" w:eastAsia="Arial" w:hAnsi="Arial" w:cs="Arial"/>
          <w:b/>
          <w:sz w:val="24"/>
          <w:szCs w:val="24"/>
        </w:rPr>
      </w:pPr>
      <w:r>
        <w:rPr>
          <w:rFonts w:ascii="Arial" w:eastAsia="Arial" w:hAnsi="Arial" w:cs="Arial"/>
          <w:b/>
          <w:sz w:val="24"/>
          <w:szCs w:val="24"/>
        </w:rPr>
        <w:t>Informações à imprensa 99</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Máquina Cohn &amp; Wolfe</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E-mail: imprensa@99app.com e 99app@maquinacohnwolfe.com</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lastRenderedPageBreak/>
        <w:t xml:space="preserve"> </w:t>
      </w:r>
    </w:p>
    <w:p w:rsidR="00804AFB" w:rsidRDefault="00944630">
      <w:pPr>
        <w:spacing w:before="240" w:after="240" w:line="276" w:lineRule="auto"/>
        <w:ind w:left="0" w:hanging="2"/>
        <w:jc w:val="both"/>
        <w:rPr>
          <w:rFonts w:ascii="Arial" w:eastAsia="Arial" w:hAnsi="Arial" w:cs="Arial"/>
          <w:b/>
          <w:sz w:val="24"/>
          <w:szCs w:val="24"/>
        </w:rPr>
      </w:pPr>
      <w:r>
        <w:rPr>
          <w:rFonts w:ascii="Arial" w:eastAsia="Arial" w:hAnsi="Arial" w:cs="Arial"/>
          <w:b/>
          <w:sz w:val="24"/>
          <w:szCs w:val="24"/>
        </w:rPr>
        <w:t>Toyota do Brasil – Departamento de Comunicação</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Lilian Assis – lassis@toyota.com.br</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Kelly Buarque – kbuarque@toyota.com.br</w:t>
      </w:r>
    </w:p>
    <w:p w:rsidR="00804AFB" w:rsidRDefault="00944630">
      <w:pPr>
        <w:spacing w:before="240" w:after="240" w:line="276" w:lineRule="auto"/>
        <w:ind w:left="0" w:hanging="2"/>
        <w:jc w:val="both"/>
        <w:rPr>
          <w:rFonts w:ascii="Arial" w:eastAsia="Arial" w:hAnsi="Arial" w:cs="Arial"/>
          <w:sz w:val="24"/>
          <w:szCs w:val="24"/>
        </w:rPr>
      </w:pPr>
      <w:proofErr w:type="spellStart"/>
      <w:r>
        <w:rPr>
          <w:rFonts w:ascii="Arial" w:eastAsia="Arial" w:hAnsi="Arial" w:cs="Arial"/>
          <w:sz w:val="24"/>
          <w:szCs w:val="24"/>
        </w:rPr>
        <w:t>Kessia</w:t>
      </w:r>
      <w:proofErr w:type="spellEnd"/>
      <w:r>
        <w:rPr>
          <w:rFonts w:ascii="Arial" w:eastAsia="Arial" w:hAnsi="Arial" w:cs="Arial"/>
          <w:sz w:val="24"/>
          <w:szCs w:val="24"/>
        </w:rPr>
        <w:t xml:space="preserve"> Santos – kosanto</w:t>
      </w:r>
      <w:r>
        <w:rPr>
          <w:rFonts w:ascii="Arial" w:eastAsia="Arial" w:hAnsi="Arial" w:cs="Arial"/>
          <w:sz w:val="24"/>
          <w:szCs w:val="24"/>
        </w:rPr>
        <w:t>s@toyota.com.br</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 xml:space="preserve"> </w:t>
      </w:r>
    </w:p>
    <w:p w:rsidR="00804AFB" w:rsidRDefault="00944630">
      <w:pPr>
        <w:spacing w:before="240" w:after="240" w:line="276" w:lineRule="auto"/>
        <w:ind w:left="0" w:hanging="2"/>
        <w:jc w:val="both"/>
        <w:rPr>
          <w:rFonts w:ascii="Arial" w:eastAsia="Arial" w:hAnsi="Arial" w:cs="Arial"/>
          <w:b/>
          <w:sz w:val="24"/>
          <w:szCs w:val="24"/>
        </w:rPr>
      </w:pPr>
      <w:r>
        <w:rPr>
          <w:rFonts w:ascii="Arial" w:eastAsia="Arial" w:hAnsi="Arial" w:cs="Arial"/>
          <w:b/>
          <w:sz w:val="24"/>
          <w:szCs w:val="24"/>
        </w:rPr>
        <w:t>RPMA Comunicação</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toyota@rpmacomunicacao.com.br</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Guilherme Magna – (11) 98600-8988</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 xml:space="preserve">Leonardo de </w:t>
      </w:r>
      <w:proofErr w:type="spellStart"/>
      <w:r>
        <w:rPr>
          <w:rFonts w:ascii="Arial" w:eastAsia="Arial" w:hAnsi="Arial" w:cs="Arial"/>
          <w:sz w:val="24"/>
          <w:szCs w:val="24"/>
        </w:rPr>
        <w:t>Araujo</w:t>
      </w:r>
      <w:proofErr w:type="spellEnd"/>
      <w:r>
        <w:rPr>
          <w:rFonts w:ascii="Arial" w:eastAsia="Arial" w:hAnsi="Arial" w:cs="Arial"/>
          <w:sz w:val="24"/>
          <w:szCs w:val="24"/>
        </w:rPr>
        <w:t xml:space="preserve"> – (11) 96084-0473</w:t>
      </w:r>
    </w:p>
    <w:p w:rsidR="00804AFB" w:rsidRDefault="00944630">
      <w:pPr>
        <w:spacing w:before="240" w:after="240" w:line="276" w:lineRule="auto"/>
        <w:ind w:left="0" w:hanging="2"/>
        <w:jc w:val="both"/>
        <w:rPr>
          <w:rFonts w:ascii="Arial" w:eastAsia="Arial" w:hAnsi="Arial" w:cs="Arial"/>
          <w:sz w:val="24"/>
          <w:szCs w:val="24"/>
        </w:rPr>
      </w:pPr>
      <w:proofErr w:type="spellStart"/>
      <w:r>
        <w:rPr>
          <w:rFonts w:ascii="Arial" w:eastAsia="Arial" w:hAnsi="Arial" w:cs="Arial"/>
          <w:sz w:val="24"/>
          <w:szCs w:val="24"/>
        </w:rPr>
        <w:t>Caue</w:t>
      </w:r>
      <w:proofErr w:type="spellEnd"/>
      <w:r>
        <w:rPr>
          <w:rFonts w:ascii="Arial" w:eastAsia="Arial" w:hAnsi="Arial" w:cs="Arial"/>
          <w:sz w:val="24"/>
          <w:szCs w:val="24"/>
        </w:rPr>
        <w:t xml:space="preserve"> </w:t>
      </w:r>
      <w:proofErr w:type="spellStart"/>
      <w:r>
        <w:rPr>
          <w:rFonts w:ascii="Arial" w:eastAsia="Arial" w:hAnsi="Arial" w:cs="Arial"/>
          <w:sz w:val="24"/>
          <w:szCs w:val="24"/>
        </w:rPr>
        <w:t>Malatesta</w:t>
      </w:r>
      <w:proofErr w:type="spellEnd"/>
      <w:r>
        <w:rPr>
          <w:rFonts w:ascii="Arial" w:eastAsia="Arial" w:hAnsi="Arial" w:cs="Arial"/>
          <w:sz w:val="24"/>
          <w:szCs w:val="24"/>
        </w:rPr>
        <w:t xml:space="preserve"> - (11) 97200-7570</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 xml:space="preserve">Fernando </w:t>
      </w:r>
      <w:proofErr w:type="spellStart"/>
      <w:r>
        <w:rPr>
          <w:rFonts w:ascii="Arial" w:eastAsia="Arial" w:hAnsi="Arial" w:cs="Arial"/>
          <w:sz w:val="24"/>
          <w:szCs w:val="24"/>
        </w:rPr>
        <w:t>Irribarra</w:t>
      </w:r>
      <w:proofErr w:type="spellEnd"/>
      <w:r>
        <w:rPr>
          <w:rFonts w:ascii="Arial" w:eastAsia="Arial" w:hAnsi="Arial" w:cs="Arial"/>
          <w:sz w:val="24"/>
          <w:szCs w:val="24"/>
        </w:rPr>
        <w:t xml:space="preserve"> – (11) 97418-3710</w:t>
      </w:r>
    </w:p>
    <w:p w:rsidR="00804AFB" w:rsidRDefault="00944630">
      <w:pPr>
        <w:spacing w:before="240" w:after="240" w:line="276" w:lineRule="auto"/>
        <w:ind w:left="0" w:hanging="2"/>
        <w:jc w:val="both"/>
        <w:rPr>
          <w:rFonts w:ascii="Arial" w:eastAsia="Arial" w:hAnsi="Arial" w:cs="Arial"/>
          <w:sz w:val="24"/>
          <w:szCs w:val="24"/>
        </w:rPr>
      </w:pPr>
      <w:r>
        <w:rPr>
          <w:rFonts w:ascii="Arial" w:eastAsia="Arial" w:hAnsi="Arial" w:cs="Arial"/>
          <w:sz w:val="24"/>
          <w:szCs w:val="24"/>
        </w:rPr>
        <w:t>Tel.: (11) 5501-4655</w:t>
      </w:r>
    </w:p>
    <w:p w:rsidR="00804AFB" w:rsidRDefault="00944630">
      <w:pPr>
        <w:spacing w:before="240" w:after="240" w:line="276" w:lineRule="auto"/>
        <w:ind w:left="0" w:hanging="2"/>
        <w:jc w:val="both"/>
        <w:rPr>
          <w:rFonts w:ascii="Arial" w:eastAsia="Arial" w:hAnsi="Arial" w:cs="Arial"/>
          <w:b/>
          <w:sz w:val="24"/>
          <w:szCs w:val="24"/>
        </w:rPr>
      </w:pPr>
      <w:hyperlink r:id="rId8">
        <w:r>
          <w:rPr>
            <w:rFonts w:ascii="Arial" w:eastAsia="Arial" w:hAnsi="Arial" w:cs="Arial"/>
            <w:sz w:val="24"/>
            <w:szCs w:val="24"/>
            <w:u w:val="single"/>
          </w:rPr>
          <w:t>www.rpmacomunicacao.com.br</w:t>
        </w:r>
      </w:hyperlink>
    </w:p>
    <w:p w:rsidR="00804AFB" w:rsidRDefault="00804AFB">
      <w:pPr>
        <w:spacing w:after="0" w:line="240" w:lineRule="auto"/>
        <w:ind w:left="0" w:hanging="2"/>
        <w:jc w:val="both"/>
        <w:rPr>
          <w:rFonts w:ascii="Arial" w:eastAsia="Arial" w:hAnsi="Arial" w:cs="Arial"/>
          <w:b/>
          <w:color w:val="222222"/>
          <w:sz w:val="24"/>
          <w:szCs w:val="24"/>
        </w:rPr>
      </w:pPr>
      <w:bookmarkStart w:id="1" w:name="_heading=h.vniobd3d260y" w:colFirst="0" w:colLast="0"/>
      <w:bookmarkEnd w:id="1"/>
    </w:p>
    <w:sectPr w:rsidR="00804AF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630" w:rsidRDefault="00944630">
      <w:pPr>
        <w:spacing w:after="0" w:line="240" w:lineRule="auto"/>
        <w:ind w:left="0" w:hanging="2"/>
      </w:pPr>
      <w:r>
        <w:separator/>
      </w:r>
    </w:p>
  </w:endnote>
  <w:endnote w:type="continuationSeparator" w:id="0">
    <w:p w:rsidR="00944630" w:rsidRDefault="0094463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FB" w:rsidRDefault="00804AFB">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FB" w:rsidRDefault="00944630">
    <w:pPr>
      <w:pBdr>
        <w:top w:val="nil"/>
        <w:left w:val="nil"/>
        <w:bottom w:val="nil"/>
        <w:right w:val="nil"/>
        <w:between w:val="nil"/>
      </w:pBdr>
      <w:spacing w:after="0" w:line="240" w:lineRule="auto"/>
      <w:ind w:left="0" w:hanging="2"/>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FB" w:rsidRDefault="00804AFB">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630" w:rsidRDefault="00944630">
      <w:pPr>
        <w:spacing w:after="0" w:line="240" w:lineRule="auto"/>
        <w:ind w:left="0" w:hanging="2"/>
      </w:pPr>
      <w:r>
        <w:separator/>
      </w:r>
    </w:p>
  </w:footnote>
  <w:footnote w:type="continuationSeparator" w:id="0">
    <w:p w:rsidR="00944630" w:rsidRDefault="0094463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FB" w:rsidRDefault="00944630">
    <w:pPr>
      <w:pBdr>
        <w:top w:val="nil"/>
        <w:left w:val="nil"/>
        <w:bottom w:val="nil"/>
        <w:right w:val="nil"/>
        <w:between w:val="nil"/>
      </w:pBdr>
      <w:spacing w:after="0" w:line="240" w:lineRule="auto"/>
      <w:ind w:left="0" w:hanging="2"/>
      <w:rPr>
        <w:color w:val="000000"/>
      </w:rPr>
    </w:pPr>
    <w:r>
      <w:rPr>
        <w:noProof/>
        <w:color w:val="000000"/>
        <w:lang w:eastAsia="pt-BR"/>
      </w:rPr>
      <mc:AlternateContent>
        <mc:Choice Requires="wpg">
          <w:drawing>
            <wp:anchor distT="0" distB="0" distL="0" distR="0" simplePos="0" relativeHeight="251662336" behindDoc="0" locked="0" layoutInCell="1" hidden="0" allowOverlap="1">
              <wp:simplePos x="0" y="0"/>
              <wp:positionH relativeFrom="page">
                <wp:align>center</wp:align>
              </wp:positionH>
              <wp:positionV relativeFrom="page">
                <wp:align>top</wp:align>
              </wp:positionV>
              <wp:extent cx="462915" cy="462915"/>
              <wp:effectExtent l="0" t="0" r="0" b="0"/>
              <wp:wrapNone/>
              <wp:docPr id="84" name="Retângulo 84"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804AFB" w:rsidRDefault="00944630">
                          <w:pPr>
                            <w:spacing w:after="0" w:line="258" w:lineRule="auto"/>
                            <w:ind w:left="0" w:hanging="2"/>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wps:txbx>
                    <wps:bodyPr spcFirstLastPara="1" wrap="square" lIns="0" tIns="19050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 PUBLIC 公開" id="84"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FB" w:rsidRDefault="00944630">
    <w:pPr>
      <w:pBdr>
        <w:top w:val="nil"/>
        <w:left w:val="nil"/>
        <w:bottom w:val="nil"/>
        <w:right w:val="nil"/>
        <w:between w:val="nil"/>
      </w:pBdr>
      <w:spacing w:after="0" w:line="240" w:lineRule="auto"/>
      <w:ind w:left="0" w:hanging="2"/>
      <w:rPr>
        <w:color w:val="000000"/>
      </w:rPr>
    </w:pPr>
    <w:r>
      <w:rPr>
        <w:noProof/>
        <w:lang w:eastAsia="pt-BR"/>
      </w:rPr>
      <mc:AlternateContent>
        <mc:Choice Requires="wpg">
          <w:drawing>
            <wp:anchor distT="0" distB="0" distL="0" distR="0" simplePos="0" relativeHeight="251658240" behindDoc="0" locked="0" layoutInCell="1" hidden="0" allowOverlap="1">
              <wp:simplePos x="0" y="0"/>
              <wp:positionH relativeFrom="page">
                <wp:align>center</wp:align>
              </wp:positionH>
              <wp:positionV relativeFrom="page">
                <wp:align>top</wp:align>
              </wp:positionV>
              <wp:extent cx="462915" cy="462915"/>
              <wp:effectExtent l="0" t="0" r="0" b="0"/>
              <wp:wrapNone/>
              <wp:docPr id="82" name="Retângulo 82"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804AFB" w:rsidRDefault="00944630">
                          <w:pPr>
                            <w:spacing w:after="0" w:line="258" w:lineRule="auto"/>
                            <w:ind w:left="0" w:hanging="2"/>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wps:txbx>
                    <wps:bodyPr spcFirstLastPara="1" wrap="square" lIns="0" tIns="19050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 PUBLIC 公開" id="82" name="image3.png"/>
              <a:graphic>
                <a:graphicData uri="http://schemas.openxmlformats.org/drawingml/2006/picture">
                  <pic:pic>
                    <pic:nvPicPr>
                      <pic:cNvPr descr="• PUBLIC 公開" id="0" name="image3.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r>
      <w:rPr>
        <w:noProof/>
        <w:lang w:eastAsia="pt-BR"/>
      </w:rPr>
      <w:drawing>
        <wp:anchor distT="0" distB="0" distL="114300" distR="114300" simplePos="0" relativeHeight="251659264" behindDoc="0" locked="0" layoutInCell="1" hidden="0" allowOverlap="1">
          <wp:simplePos x="0" y="0"/>
          <wp:positionH relativeFrom="column">
            <wp:posOffset>29</wp:posOffset>
          </wp:positionH>
          <wp:positionV relativeFrom="paragraph">
            <wp:posOffset>-13942</wp:posOffset>
          </wp:positionV>
          <wp:extent cx="1468755" cy="467995"/>
          <wp:effectExtent l="0" t="0" r="0" b="0"/>
          <wp:wrapTopAndBottom distT="0" distB="0"/>
          <wp:docPr id="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68755" cy="467995"/>
                  </a:xfrm>
                  <a:prstGeom prst="rect">
                    <a:avLst/>
                  </a:prstGeom>
                  <a:ln/>
                </pic:spPr>
              </pic:pic>
            </a:graphicData>
          </a:graphic>
        </wp:anchor>
      </w:drawing>
    </w:r>
    <w:r>
      <w:rPr>
        <w:noProof/>
        <w:lang w:eastAsia="pt-BR"/>
      </w:rPr>
      <w:drawing>
        <wp:anchor distT="0" distB="0" distL="114300" distR="114300" simplePos="0" relativeHeight="251660288" behindDoc="0" locked="0" layoutInCell="1" hidden="0" allowOverlap="1">
          <wp:simplePos x="0" y="0"/>
          <wp:positionH relativeFrom="column">
            <wp:posOffset>4226250</wp:posOffset>
          </wp:positionH>
          <wp:positionV relativeFrom="paragraph">
            <wp:posOffset>47625</wp:posOffset>
          </wp:positionV>
          <wp:extent cx="1966595" cy="356870"/>
          <wp:effectExtent l="0" t="0" r="0" b="0"/>
          <wp:wrapSquare wrapText="bothSides" distT="0" distB="0" distL="114300" distR="114300"/>
          <wp:docPr id="8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966595" cy="35687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FB" w:rsidRDefault="00944630">
    <w:pPr>
      <w:pBdr>
        <w:top w:val="nil"/>
        <w:left w:val="nil"/>
        <w:bottom w:val="nil"/>
        <w:right w:val="nil"/>
        <w:between w:val="nil"/>
      </w:pBdr>
      <w:spacing w:after="0" w:line="240" w:lineRule="auto"/>
      <w:ind w:left="0" w:hanging="2"/>
      <w:rPr>
        <w:color w:val="000000"/>
      </w:rPr>
    </w:pPr>
    <w:r>
      <w:rPr>
        <w:noProof/>
        <w:color w:val="000000"/>
        <w:lang w:eastAsia="pt-BR"/>
      </w:rPr>
      <mc:AlternateContent>
        <mc:Choice Requires="wpg">
          <w:drawing>
            <wp:anchor distT="0" distB="0" distL="0" distR="0" simplePos="0" relativeHeight="251661312" behindDoc="0" locked="0" layoutInCell="1" hidden="0" allowOverlap="1">
              <wp:simplePos x="0" y="0"/>
              <wp:positionH relativeFrom="page">
                <wp:align>center</wp:align>
              </wp:positionH>
              <wp:positionV relativeFrom="page">
                <wp:align>top</wp:align>
              </wp:positionV>
              <wp:extent cx="462915" cy="462915"/>
              <wp:effectExtent l="0" t="0" r="0" b="0"/>
              <wp:wrapNone/>
              <wp:docPr id="83" name="Retângulo 83"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804AFB" w:rsidRDefault="00944630">
                          <w:pPr>
                            <w:spacing w:after="0" w:line="258" w:lineRule="auto"/>
                            <w:ind w:left="0" w:hanging="2"/>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wps:txbx>
                    <wps:bodyPr spcFirstLastPara="1" wrap="square" lIns="0" tIns="19050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 PUBLIC 公開" id="83"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41467"/>
    <w:multiLevelType w:val="multilevel"/>
    <w:tmpl w:val="E5FED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FB"/>
    <w:rsid w:val="00804AFB"/>
    <w:rsid w:val="00944630"/>
    <w:rsid w:val="00D50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A8F11-EE0E-4CAE-9EFD-09928468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00">
    <w:name w:val="Table Normal_0"/>
    <w:tblPr>
      <w:tblCellMar>
        <w:top w:w="0" w:type="dxa"/>
        <w:left w:w="0" w:type="dxa"/>
        <w:bottom w:w="0" w:type="dxa"/>
        <w:right w:w="0" w:type="dxa"/>
      </w:tblCellMar>
    </w:tblPr>
  </w:style>
  <w:style w:type="paragraph" w:styleId="Cabealho">
    <w:name w:val="header"/>
    <w:basedOn w:val="Normal"/>
    <w:qFormat/>
    <w:pPr>
      <w:spacing w:after="0" w:line="240" w:lineRule="auto"/>
    </w:pPr>
    <w:rPr>
      <w:rFonts w:eastAsia="MS Mincho" w:cs="Times New Roman"/>
      <w:lang w:eastAsia="ja-JP"/>
    </w:rPr>
  </w:style>
  <w:style w:type="character" w:customStyle="1" w:styleId="CabealhoChar">
    <w:name w:val="Cabeçalho Char"/>
    <w:rPr>
      <w:w w:val="100"/>
      <w:position w:val="-1"/>
      <w:effect w:val="none"/>
      <w:vertAlign w:val="baseline"/>
      <w:cs w:val="0"/>
    </w:rPr>
  </w:style>
  <w:style w:type="paragraph" w:styleId="Rodap">
    <w:name w:val="footer"/>
    <w:basedOn w:val="Normal"/>
    <w:qFormat/>
    <w:pPr>
      <w:spacing w:after="0" w:line="240" w:lineRule="auto"/>
    </w:pPr>
    <w:rPr>
      <w:rFonts w:eastAsia="MS Mincho" w:cs="Times New Roman"/>
      <w:lang w:eastAsia="ja-JP"/>
    </w:rPr>
  </w:style>
  <w:style w:type="character" w:customStyle="1" w:styleId="RodapChar">
    <w:name w:val="Rodapé Char"/>
    <w:rPr>
      <w:w w:val="100"/>
      <w:position w:val="-1"/>
      <w:effect w:val="none"/>
      <w:vertAlign w:val="baseline"/>
      <w:cs w:val="0"/>
    </w:rPr>
  </w:style>
  <w:style w:type="paragraph" w:styleId="Textodebalo">
    <w:name w:val="Balloon Text"/>
    <w:basedOn w:val="Normal"/>
    <w:qFormat/>
    <w:pPr>
      <w:spacing w:after="0" w:line="240" w:lineRule="auto"/>
    </w:pPr>
    <w:rPr>
      <w:rFonts w:ascii="Tahoma" w:eastAsia="MS Mincho" w:hAnsi="Tahoma" w:cs="Tahoma"/>
      <w:sz w:val="16"/>
      <w:szCs w:val="16"/>
      <w:lang w:eastAsia="ja-JP"/>
    </w:rPr>
  </w:style>
  <w:style w:type="character" w:customStyle="1" w:styleId="TextodebaloChar">
    <w:name w:val="Texto de balão Char"/>
    <w:rPr>
      <w:rFonts w:ascii="Tahoma" w:hAnsi="Tahoma" w:cs="Tahoma"/>
      <w:w w:val="100"/>
      <w:position w:val="-1"/>
      <w:sz w:val="16"/>
      <w:szCs w:val="16"/>
      <w:effect w:val="none"/>
      <w:vertAlign w:val="baseline"/>
      <w:cs w:val="0"/>
    </w:rPr>
  </w:style>
  <w:style w:type="paragraph" w:customStyle="1" w:styleId="GradeMdia21">
    <w:name w:val="Grade Média 21"/>
    <w:pPr>
      <w:suppressAutoHyphens/>
      <w:spacing w:line="1" w:lineRule="atLeast"/>
      <w:ind w:leftChars="-1" w:left="-1" w:hangingChars="1"/>
      <w:textDirection w:val="btLr"/>
      <w:textAlignment w:val="top"/>
      <w:outlineLvl w:val="0"/>
    </w:pPr>
    <w:rPr>
      <w:position w:val="-1"/>
      <w:lang w:eastAsia="en-US"/>
    </w:rPr>
  </w:style>
  <w:style w:type="character" w:styleId="Hyperlink">
    <w:name w:val="Hyperlink"/>
    <w:rPr>
      <w:color w:val="0000FF"/>
      <w:w w:val="100"/>
      <w:position w:val="-1"/>
      <w:u w:val="single"/>
      <w:effect w:val="none"/>
      <w:vertAlign w:val="baseline"/>
      <w:cs w:val="0"/>
    </w:rPr>
  </w:style>
  <w:style w:type="paragraph" w:customStyle="1" w:styleId="ListaColorida-nfase11">
    <w:name w:val="Lista Colorida - Ênfase 11"/>
    <w:basedOn w:val="Normal"/>
    <w:pPr>
      <w:spacing w:after="0" w:line="240" w:lineRule="auto"/>
      <w:ind w:left="720"/>
      <w:contextualSpacing/>
      <w:jc w:val="both"/>
    </w:pPr>
    <w:rPr>
      <w:rFonts w:ascii="Century" w:eastAsia="MS Mincho" w:hAnsi="Century" w:cs="Arial"/>
      <w:kern w:val="2"/>
      <w:sz w:val="21"/>
      <w:lang w:val="en-US" w:eastAsia="ja-JP"/>
    </w:rPr>
  </w:style>
  <w:style w:type="character" w:styleId="Forte">
    <w:name w:val="Strong"/>
    <w:rPr>
      <w:b/>
      <w:bCs/>
      <w:w w:val="100"/>
      <w:position w:val="-1"/>
      <w:effect w:val="none"/>
      <w:vertAlign w:val="baseline"/>
      <w:cs w:val="0"/>
    </w:rPr>
  </w:style>
  <w:style w:type="character" w:customStyle="1" w:styleId="apple-converted-space">
    <w:name w:val="apple-converted-space"/>
    <w:rPr>
      <w:w w:val="100"/>
      <w:position w:val="-1"/>
      <w:effect w:val="none"/>
      <w:vertAlign w:val="baseline"/>
      <w:cs w:val="0"/>
    </w:rPr>
  </w:style>
  <w:style w:type="character" w:styleId="Refdecomentrio">
    <w:name w:val="annotation reference"/>
    <w:qFormat/>
    <w:rPr>
      <w:w w:val="100"/>
      <w:position w:val="-1"/>
      <w:sz w:val="16"/>
      <w:szCs w:val="16"/>
      <w:effect w:val="none"/>
      <w:vertAlign w:val="baseline"/>
      <w:cs w:val="0"/>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lang w:eastAsia="en-US"/>
    </w:rPr>
  </w:style>
  <w:style w:type="paragraph" w:styleId="SemEspaamento">
    <w:name w:val="No Spacing"/>
    <w:pPr>
      <w:suppressAutoHyphens/>
      <w:spacing w:line="1" w:lineRule="atLeast"/>
      <w:ind w:leftChars="-1" w:left="-1" w:hangingChars="1"/>
      <w:textDirection w:val="btLr"/>
      <w:textAlignment w:val="top"/>
      <w:outlineLvl w:val="0"/>
    </w:pPr>
    <w:rPr>
      <w:position w:val="-1"/>
      <w:lang w:eastAsia="en-US"/>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lang w:eastAsia="pt-BR"/>
    </w:rPr>
  </w:style>
  <w:style w:type="character" w:styleId="nfase">
    <w:name w:val="Emphasis"/>
    <w:rPr>
      <w:i/>
      <w:iCs/>
      <w:w w:val="100"/>
      <w:position w:val="-1"/>
      <w:effect w:val="none"/>
      <w:vertAlign w:val="baseline"/>
      <w:cs w:val="0"/>
    </w:rPr>
  </w:style>
  <w:style w:type="paragraph" w:styleId="PargrafodaLista">
    <w:name w:val="List Paragraph"/>
    <w:basedOn w:val="Normal"/>
    <w:pPr>
      <w:spacing w:after="200" w:line="276" w:lineRule="auto"/>
      <w:ind w:left="720"/>
      <w:contextualSpacing/>
    </w:pPr>
  </w:style>
  <w:style w:type="character" w:customStyle="1" w:styleId="MenoPendente1">
    <w:name w:val="Menção Pendente1"/>
    <w:qFormat/>
    <w:rPr>
      <w:color w:val="605E5C"/>
      <w:w w:val="100"/>
      <w:position w:val="-1"/>
      <w:effect w:val="none"/>
      <w:shd w:val="clear" w:color="auto" w:fill="E1DFDD"/>
      <w:vertAlign w:val="baseline"/>
      <w:cs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enoPendente2">
    <w:name w:val="Menção Pendente2"/>
    <w:basedOn w:val="Fontepargpadro"/>
    <w:uiPriority w:val="99"/>
    <w:semiHidden/>
    <w:unhideWhenUsed/>
    <w:rsid w:val="00F76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pmacomunicacao.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8PfMeTUhWMUxgJoMPjZQ/30iTA==">AMUW2mXzWkrFn0khRTvQNj4f1dPmA/kDEDYszOr2Wn6ZiBgug3XCau398Atsv1KSo8UwEVCgAt1nDOW0XR1uKmCTwwnsNPXhSwjaH7wwprJTmCj0TU+RSRtd9if5lB6MfjZp3I6+jr2T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6828</Characters>
  <Application>Microsoft Office Word</Application>
  <DocSecurity>0</DocSecurity>
  <Lines>56</Lines>
  <Paragraphs>16</Paragraphs>
  <ScaleCrop>false</ScaleCrop>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 Arantes Rodrigues</dc:creator>
  <cp:lastModifiedBy>Guilherme Magna</cp:lastModifiedBy>
  <cp:revision>2</cp:revision>
  <dcterms:created xsi:type="dcterms:W3CDTF">2022-12-21T21:40:00Z</dcterms:created>
  <dcterms:modified xsi:type="dcterms:W3CDTF">2023-04-18T20:50:00Z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2022-12-21T20:42:03Z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8d0e3e33-17d4-4483-9616-4a2df7f56623</vt:lpwstr>
  </property>
  <property fmtid="{D5CDD505-2E9C-101B-9397-08002B2CF9AE}" pid="11" name="MSIP_Label_023e975b-7b34-49da-9033-9c8f8f7bcde3_ContentBits">
    <vt:lpwstr>1</vt:lpwstr>
  </property>
</Properties>
</file>