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both"/>
        <w:rPr/>
      </w:pPr>
      <w:r w:rsidDel="00000000" w:rsidR="00000000" w:rsidRPr="00000000">
        <w:rPr>
          <w:rtl w:val="0"/>
        </w:rPr>
      </w:r>
    </w:p>
    <w:p w:rsidR="00000000" w:rsidDel="00000000" w:rsidP="00000000" w:rsidRDefault="00000000" w:rsidRPr="00000000" w14:paraId="00000002">
      <w:pPr>
        <w:shd w:fill="ffffff" w:val="clear"/>
        <w:spacing w:after="280" w:before="280" w:lineRule="auto"/>
        <w:jc w:val="center"/>
        <w:rPr>
          <w:b w:val="1"/>
          <w:sz w:val="28"/>
          <w:szCs w:val="28"/>
        </w:rPr>
      </w:pPr>
      <w:r w:rsidDel="00000000" w:rsidR="00000000" w:rsidRPr="00000000">
        <w:rPr>
          <w:b w:val="1"/>
          <w:sz w:val="28"/>
          <w:szCs w:val="28"/>
          <w:rtl w:val="0"/>
        </w:rPr>
        <w:t xml:space="preserve">Toyota do Brasil anuncia expansão da parceria com o Sem Parar</w:t>
      </w:r>
    </w:p>
    <w:p w:rsidR="00000000" w:rsidDel="00000000" w:rsidP="00000000" w:rsidRDefault="00000000" w:rsidRPr="00000000" w14:paraId="00000003">
      <w:pPr>
        <w:numPr>
          <w:ilvl w:val="0"/>
          <w:numId w:val="1"/>
        </w:numPr>
        <w:shd w:fill="ffffff" w:val="clear"/>
        <w:spacing w:before="240" w:lineRule="auto"/>
        <w:ind w:left="720" w:hanging="360"/>
        <w:rPr>
          <w:i w:val="1"/>
          <w:sz w:val="24"/>
          <w:szCs w:val="24"/>
          <w:highlight w:val="white"/>
        </w:rPr>
      </w:pPr>
      <w:r w:rsidDel="00000000" w:rsidR="00000000" w:rsidRPr="00000000">
        <w:rPr>
          <w:i w:val="1"/>
          <w:sz w:val="24"/>
          <w:szCs w:val="24"/>
          <w:rtl w:val="0"/>
        </w:rPr>
        <w:t xml:space="preserve">Ao longo do mês de janeiro, Hilux e SW4, líderes em seus segmentos, passam a sair das concessionárias de todo o País com a tag do Sem Parar instalada </w:t>
      </w:r>
      <w:r w:rsidDel="00000000" w:rsidR="00000000" w:rsidRPr="00000000">
        <w:rPr>
          <w:rtl w:val="0"/>
        </w:rPr>
      </w:r>
    </w:p>
    <w:p w:rsidR="00000000" w:rsidDel="00000000" w:rsidP="00000000" w:rsidRDefault="00000000" w:rsidRPr="00000000" w14:paraId="00000004">
      <w:pPr>
        <w:numPr>
          <w:ilvl w:val="0"/>
          <w:numId w:val="1"/>
        </w:numPr>
        <w:shd w:fill="ffffff" w:val="clear"/>
        <w:spacing w:before="240" w:lineRule="auto"/>
        <w:ind w:left="720" w:hanging="360"/>
        <w:rPr>
          <w:i w:val="1"/>
          <w:sz w:val="24"/>
          <w:szCs w:val="24"/>
          <w:highlight w:val="white"/>
        </w:rPr>
      </w:pPr>
      <w:r w:rsidDel="00000000" w:rsidR="00000000" w:rsidRPr="00000000">
        <w:rPr>
          <w:i w:val="1"/>
          <w:sz w:val="24"/>
          <w:szCs w:val="24"/>
          <w:highlight w:val="white"/>
          <w:rtl w:val="0"/>
        </w:rPr>
        <w:t xml:space="preserve">Parceria, iniciada em 2022, oferece aos clientes maior comodidade e benefícios exclusivos</w:t>
      </w:r>
    </w:p>
    <w:p w:rsidR="00000000" w:rsidDel="00000000" w:rsidP="00000000" w:rsidRDefault="00000000" w:rsidRPr="00000000" w14:paraId="00000005">
      <w:pPr>
        <w:shd w:fill="ffffff" w:val="clear"/>
        <w:spacing w:after="220" w:before="220" w:lineRule="auto"/>
        <w:jc w:val="both"/>
        <w:rPr/>
      </w:pPr>
      <w:r w:rsidDel="00000000" w:rsidR="00000000" w:rsidRPr="00000000">
        <w:rPr>
          <w:rtl w:val="0"/>
        </w:rPr>
        <w:t xml:space="preserve">A Toyota do Brasil e o Sem Parar, empresa do Grupo Fleetcor e líder nos meios de pagamentos automáticos do Brasil, anunciam a expansão da parceria firmada em 2022. Agora, os consumidores que adquirirem os modelos Hilux e SW4, líderes de vendas no segmento de picapes médias e SUVs grandes, respectivamente, produzidos na planta de Zárate, na Argentina, já recebem a tag do Sem Parar instalada na saída da concessionária.</w:t>
      </w:r>
    </w:p>
    <w:p w:rsidR="00000000" w:rsidDel="00000000" w:rsidP="00000000" w:rsidRDefault="00000000" w:rsidRPr="00000000" w14:paraId="00000006">
      <w:pPr>
        <w:shd w:fill="ffffff" w:val="clear"/>
        <w:spacing w:after="220" w:before="220" w:lineRule="auto"/>
        <w:jc w:val="both"/>
        <w:rPr/>
      </w:pPr>
      <w:r w:rsidDel="00000000" w:rsidR="00000000" w:rsidRPr="00000000">
        <w:rPr>
          <w:rtl w:val="0"/>
        </w:rPr>
        <w:t xml:space="preserve">Os modelos Corolla, produzido em Indaiatuba (SP), Corolla Cross e Yaris, fabricados em Sorocaba (SP), já recebem a tag da empresa desde o início da parceria entre as duas empresas, em abril do ano passado.</w:t>
      </w:r>
    </w:p>
    <w:p w:rsidR="00000000" w:rsidDel="00000000" w:rsidP="00000000" w:rsidRDefault="00000000" w:rsidRPr="00000000" w14:paraId="00000007">
      <w:pPr>
        <w:shd w:fill="ffffff" w:val="clear"/>
        <w:spacing w:after="220" w:before="220" w:lineRule="auto"/>
        <w:jc w:val="both"/>
        <w:rPr/>
      </w:pPr>
      <w:r w:rsidDel="00000000" w:rsidR="00000000" w:rsidRPr="00000000">
        <w:rPr>
          <w:rtl w:val="0"/>
        </w:rPr>
        <w:t xml:space="preserve">Ao longo de 2022, mais de 12 mil clientes realizaram a ativação de tags Sem Parar disponíveis nos modelos Toyota. “Mais que produtos com o DNA da nossa marca em Qualidade, Durabilidade e Confiabilidade, queremos cada vez mais oferecer aos nossos clientes experiências que contribuam para sua comodidade e conveniência.  Acreditamos que a expansão dessa parceria para os nossos campeões de vendas Hilux e SW4 contribuirá com este objetivo”, comenta José Ricardo Gomes, diretor comercial da Toyota do Brasil.  </w:t>
      </w:r>
    </w:p>
    <w:p w:rsidR="00000000" w:rsidDel="00000000" w:rsidP="00000000" w:rsidRDefault="00000000" w:rsidRPr="00000000" w14:paraId="00000008">
      <w:pPr>
        <w:shd w:fill="ffffff" w:val="clear"/>
        <w:spacing w:after="220" w:before="220" w:lineRule="auto"/>
        <w:jc w:val="both"/>
        <w:rPr/>
      </w:pPr>
      <w:r w:rsidDel="00000000" w:rsidR="00000000" w:rsidRPr="00000000">
        <w:rPr>
          <w:rtl w:val="0"/>
        </w:rPr>
        <w:t xml:space="preserve">Com a tag Sem Parar instalada direto na fábrica, clientes da Toyota ganham agilidade ao comprar seus carros novos, sem ter de solicitá-la ou instalá-la após a aquisição do veículo. Para a ativação, basta informar a numeração da tag em um dos canais oficiais da parceria. </w:t>
      </w:r>
    </w:p>
    <w:p w:rsidR="00000000" w:rsidDel="00000000" w:rsidP="00000000" w:rsidRDefault="00000000" w:rsidRPr="00000000" w14:paraId="00000009">
      <w:pPr>
        <w:shd w:fill="ffffff" w:val="clear"/>
        <w:spacing w:after="220" w:before="220" w:lineRule="auto"/>
        <w:jc w:val="both"/>
        <w:rPr/>
      </w:pPr>
      <w:r w:rsidDel="00000000" w:rsidR="00000000" w:rsidRPr="00000000">
        <w:rPr>
          <w:rtl w:val="0"/>
        </w:rPr>
        <w:t xml:space="preserve">“A ampliação da parceria com a Toyota acompanha o bom desempenho que tivemos desde o início dessa relação e traz todos os benefícios do Sem Parar para os novos clientes da fabricante, agora também disponível nestes modelos importados”, afirma Rogério Pezelli, diretor de Desenvolvimento de Negócios do Sem Parar. “Com a tag embarcada de fábrica, oferecemos ainda mais comodidade aos clientes, que precisam apenas ativá-la e já podem utilizá-la em 5,8 mil pontos no Brasil e ainda fugir das filas de pedágio na hora de pegar a estrada neste período de férias”, completa.</w:t>
      </w:r>
    </w:p>
    <w:p w:rsidR="00000000" w:rsidDel="00000000" w:rsidP="00000000" w:rsidRDefault="00000000" w:rsidRPr="00000000" w14:paraId="0000000A">
      <w:pPr>
        <w:shd w:fill="ffffff" w:val="clear"/>
        <w:spacing w:after="220" w:before="220" w:lineRule="auto"/>
        <w:jc w:val="both"/>
        <w:rPr>
          <w:b w:val="1"/>
        </w:rPr>
      </w:pPr>
      <w:r w:rsidDel="00000000" w:rsidR="00000000" w:rsidRPr="00000000">
        <w:rPr>
          <w:b w:val="1"/>
          <w:rtl w:val="0"/>
        </w:rPr>
        <w:t xml:space="preserve">SuperApp Sem Parar</w:t>
      </w:r>
    </w:p>
    <w:p w:rsidR="00000000" w:rsidDel="00000000" w:rsidP="00000000" w:rsidRDefault="00000000" w:rsidRPr="00000000" w14:paraId="0000000B">
      <w:pPr>
        <w:shd w:fill="ffffff" w:val="clear"/>
        <w:spacing w:after="220" w:before="220" w:lineRule="auto"/>
        <w:jc w:val="both"/>
        <w:rPr/>
      </w:pPr>
      <w:r w:rsidDel="00000000" w:rsidR="00000000" w:rsidRPr="00000000">
        <w:rPr>
          <w:rtl w:val="0"/>
        </w:rPr>
        <w:t xml:space="preserve">Os novos clientes, compradores de veículos Toyota, também ganham a facilidade de mais de 20 serviços exclusivos oferecidos pelo SuperApp Sem Parar.</w:t>
      </w:r>
    </w:p>
    <w:p w:rsidR="00000000" w:rsidDel="00000000" w:rsidP="00000000" w:rsidRDefault="00000000" w:rsidRPr="00000000" w14:paraId="0000000C">
      <w:pPr>
        <w:shd w:fill="ffffff" w:val="clear"/>
        <w:spacing w:after="220" w:before="220" w:lineRule="auto"/>
        <w:jc w:val="both"/>
        <w:rPr/>
      </w:pPr>
      <w:r w:rsidDel="00000000" w:rsidR="00000000" w:rsidRPr="00000000">
        <w:rPr>
          <w:rtl w:val="0"/>
        </w:rPr>
      </w:r>
    </w:p>
    <w:p w:rsidR="00000000" w:rsidDel="00000000" w:rsidP="00000000" w:rsidRDefault="00000000" w:rsidRPr="00000000" w14:paraId="0000000D">
      <w:pPr>
        <w:shd w:fill="ffffff" w:val="clear"/>
        <w:spacing w:after="220" w:before="220" w:lineRule="auto"/>
        <w:jc w:val="both"/>
        <w:rPr/>
      </w:pPr>
      <w:r w:rsidDel="00000000" w:rsidR="00000000" w:rsidRPr="00000000">
        <w:rPr>
          <w:rtl w:val="0"/>
        </w:rPr>
      </w:r>
    </w:p>
    <w:p w:rsidR="00000000" w:rsidDel="00000000" w:rsidP="00000000" w:rsidRDefault="00000000" w:rsidRPr="00000000" w14:paraId="0000000E">
      <w:pPr>
        <w:shd w:fill="ffffff" w:val="clear"/>
        <w:spacing w:after="220" w:before="220" w:lineRule="auto"/>
        <w:jc w:val="both"/>
        <w:rPr/>
      </w:pPr>
      <w:r w:rsidDel="00000000" w:rsidR="00000000" w:rsidRPr="00000000">
        <w:rPr>
          <w:rtl w:val="0"/>
        </w:rPr>
        <w:t xml:space="preserve">Ao longo de 2022, o aplicativo ganhou diversas funcionalidades e permite contratar seguros de forma rápida e 100% digital, comparar os preços de combustível entre os postos e contratar uma lavagem de veículo em domicílio. Pelo SuperApp, também é possível participar do programa de </w:t>
      </w:r>
      <w:r w:rsidDel="00000000" w:rsidR="00000000" w:rsidRPr="00000000">
        <w:rPr>
          <w:i w:val="1"/>
          <w:rtl w:val="0"/>
        </w:rPr>
        <w:t xml:space="preserve">cashback</w:t>
      </w:r>
      <w:r w:rsidDel="00000000" w:rsidR="00000000" w:rsidRPr="00000000">
        <w:rPr>
          <w:rtl w:val="0"/>
        </w:rPr>
        <w:t xml:space="preserve"> exclusivo, disponível para quem abastece com a tag do Sem Parar.</w:t>
      </w:r>
    </w:p>
    <w:p w:rsidR="00000000" w:rsidDel="00000000" w:rsidP="00000000" w:rsidRDefault="00000000" w:rsidRPr="00000000" w14:paraId="0000000F">
      <w:pPr>
        <w:shd w:fill="ffffff" w:val="clear"/>
        <w:spacing w:after="220" w:before="220" w:lineRule="auto"/>
        <w:jc w:val="both"/>
        <w:rPr/>
      </w:pPr>
      <w:r w:rsidDel="00000000" w:rsidR="00000000" w:rsidRPr="00000000">
        <w:rPr>
          <w:rtl w:val="0"/>
        </w:rPr>
        <w:t xml:space="preserve">O SuperApp Sem Parar está disponível para os sistemas Android e iOS.</w:t>
      </w:r>
    </w:p>
    <w:p w:rsidR="00000000" w:rsidDel="00000000" w:rsidP="00000000" w:rsidRDefault="00000000" w:rsidRPr="00000000" w14:paraId="00000010">
      <w:pPr>
        <w:shd w:fill="ffffff" w:val="clear"/>
        <w:spacing w:after="220" w:before="220" w:lineRule="auto"/>
        <w:jc w:val="both"/>
        <w:rPr/>
      </w:pPr>
      <w:r w:rsidDel="00000000" w:rsidR="00000000" w:rsidRPr="00000000">
        <w:rPr>
          <w:rtl w:val="0"/>
        </w:rPr>
      </w:r>
    </w:p>
    <w:p w:rsidR="00000000" w:rsidDel="00000000" w:rsidP="00000000" w:rsidRDefault="00000000" w:rsidRPr="00000000" w14:paraId="00000011">
      <w:pPr>
        <w:shd w:fill="ffffff" w:val="clear"/>
        <w:spacing w:after="220" w:before="220" w:lineRule="auto"/>
        <w:rPr>
          <w:b w:val="1"/>
        </w:rPr>
      </w:pPr>
      <w:r w:rsidDel="00000000" w:rsidR="00000000" w:rsidRPr="00000000">
        <w:rPr>
          <w:b w:val="1"/>
          <w:rtl w:val="0"/>
        </w:rPr>
        <w:t xml:space="preserve">Objetivos de Desenvolvimento Sustentável</w:t>
      </w:r>
    </w:p>
    <w:p w:rsidR="00000000" w:rsidDel="00000000" w:rsidP="00000000" w:rsidRDefault="00000000" w:rsidRPr="00000000" w14:paraId="00000012">
      <w:pPr>
        <w:shd w:fill="ffffff" w:val="clear"/>
        <w:spacing w:after="220" w:before="220" w:lineRule="auto"/>
        <w:jc w:val="both"/>
        <w:rPr/>
      </w:pPr>
      <w:r w:rsidDel="00000000" w:rsidR="00000000" w:rsidRPr="00000000">
        <w:rPr>
          <w:rtl w:val="0"/>
        </w:rPr>
        <w:t xml:space="preserve">Esse projeto colabora diretamente para os seguintes Objetivos de Desenvolvimento Sustentável (ODS) da ONU:</w:t>
      </w:r>
    </w:p>
    <w:p w:rsidR="00000000" w:rsidDel="00000000" w:rsidP="00000000" w:rsidRDefault="00000000" w:rsidRPr="00000000" w14:paraId="00000013">
      <w:pPr>
        <w:shd w:fill="ffffff" w:val="clear"/>
        <w:spacing w:after="220" w:before="220" w:lineRule="auto"/>
        <w:jc w:val="both"/>
        <w:rPr/>
      </w:pPr>
      <w:r w:rsidDel="00000000" w:rsidR="00000000" w:rsidRPr="00000000">
        <w:rPr/>
        <w:drawing>
          <wp:inline distB="114300" distT="114300" distL="114300" distR="114300">
            <wp:extent cx="1233488" cy="1226057"/>
            <wp:effectExtent b="0" l="0" r="0" t="0"/>
            <wp:docPr id="5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33488" cy="122605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220" w:before="220" w:lineRule="auto"/>
        <w:jc w:val="both"/>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15">
      <w:pPr>
        <w:shd w:fill="ffffff" w:val="clear"/>
        <w:spacing w:after="220" w:before="220" w:lineRule="auto"/>
        <w:jc w:val="both"/>
        <w:rPr/>
      </w:pPr>
      <w:r w:rsidDel="00000000" w:rsidR="00000000" w:rsidRPr="00000000">
        <w:rPr/>
        <w:drawing>
          <wp:inline distB="114300" distT="114300" distL="114300" distR="114300">
            <wp:extent cx="1814513" cy="1070562"/>
            <wp:effectExtent b="0" l="0" r="0" t="0"/>
            <wp:docPr id="6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814513" cy="107056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220" w:before="220" w:lineRule="auto"/>
        <w:jc w:val="both"/>
        <w:rPr>
          <w:b w:val="1"/>
          <w:i w:val="1"/>
        </w:rPr>
      </w:pPr>
      <w:r w:rsidDel="00000000" w:rsidR="00000000" w:rsidRPr="00000000">
        <w:rPr>
          <w:b w:val="1"/>
          <w:i w:val="1"/>
          <w:rtl w:val="0"/>
        </w:rPr>
        <w:t xml:space="preserve">Para acessar este press release, bem como todo o material de imprensa da Toyota do Brasil, como fotos e vídeos, visite </w:t>
      </w:r>
      <w:hyperlink r:id="rId9">
        <w:r w:rsidDel="00000000" w:rsidR="00000000" w:rsidRPr="00000000">
          <w:rPr>
            <w:b w:val="1"/>
            <w:i w:val="1"/>
            <w:u w:val="single"/>
            <w:rtl w:val="0"/>
          </w:rPr>
          <w:t xml:space="preserve">www.toyotacomunica.com.br</w:t>
        </w:r>
      </w:hyperlink>
      <w:r w:rsidDel="00000000" w:rsidR="00000000" w:rsidRPr="00000000">
        <w:rPr>
          <w:b w:val="1"/>
          <w:i w:val="1"/>
          <w:rtl w:val="0"/>
        </w:rPr>
        <w:t xml:space="preserve">.</w:t>
      </w:r>
    </w:p>
    <w:p w:rsidR="00000000" w:rsidDel="00000000" w:rsidP="00000000" w:rsidRDefault="00000000" w:rsidRPr="00000000" w14:paraId="00000017">
      <w:pPr>
        <w:shd w:fill="ffffff" w:val="clear"/>
        <w:spacing w:after="220" w:before="220" w:lineRule="auto"/>
        <w:jc w:val="both"/>
        <w:rPr>
          <w:i w:val="1"/>
        </w:rPr>
      </w:pPr>
      <w:r w:rsidDel="00000000" w:rsidR="00000000" w:rsidRPr="00000000">
        <w:rPr>
          <w:i w:val="1"/>
          <w:rtl w:val="0"/>
        </w:rPr>
        <w:t xml:space="preserve">A Toyota do Brasil está presente no País há mais de 60 anos. Possui quatro unidades produtivas, localizadas nas cidades de Indaiatuba, Sorocaba, Porto Feliz e São Bernardo do Campo, e emprega mais de 6 mil pessoas. Em 2020, lançou a KINTO, sua nova empresa de mobilidade, para oferecer serviços como aluguel de carros e gestão de frota para uma sociedade em transformação. Também reforçou sua marca GAZOO, por meio de iniciativas que desafiam a excelência dos seus veículos. Tem como missão produzir felicidade em larga escala e, para isso, está comprometida em desenvolver carros cada vez melhores e mais seguros, além de avançar nas soluções de mobilidade. A empresa contribui com a sociedade por meio do próprio negócio, com ações que visam diminuir o risco de acidentes, melhorar o tráfego de veículos e aumentar o uso de energias renováveis, e também por ser uma boa cidadã corporativa. Junto com a Fundação Toyota do Brasil, tem iniciativas que repercutem nos 17 Objetivos de Desenvolvimento Sustentável (ODS) da ONU. Mais informações no site </w:t>
      </w:r>
      <w:hyperlink r:id="rId10">
        <w:r w:rsidDel="00000000" w:rsidR="00000000" w:rsidRPr="00000000">
          <w:rPr>
            <w:i w:val="1"/>
            <w:u w:val="single"/>
            <w:rtl w:val="0"/>
          </w:rPr>
          <w:t xml:space="preserve">www.toyota-global.com</w:t>
        </w:r>
      </w:hyperlink>
      <w:r w:rsidDel="00000000" w:rsidR="00000000" w:rsidRPr="00000000">
        <w:rPr>
          <w:i w:val="1"/>
          <w:rtl w:val="0"/>
        </w:rPr>
        <w:t xml:space="preserve"> e </w:t>
      </w:r>
      <w:hyperlink r:id="rId11">
        <w:r w:rsidDel="00000000" w:rsidR="00000000" w:rsidRPr="00000000">
          <w:rPr>
            <w:i w:val="1"/>
            <w:u w:val="single"/>
            <w:rtl w:val="0"/>
          </w:rPr>
          <w:t xml:space="preserve">www.toyota.com.br</w:t>
        </w:r>
      </w:hyperlink>
      <w:r w:rsidDel="00000000" w:rsidR="00000000" w:rsidRPr="00000000">
        <w:rPr>
          <w:i w:val="1"/>
          <w:rtl w:val="0"/>
        </w:rPr>
        <w:t xml:space="preserve">. </w:t>
      </w:r>
    </w:p>
    <w:p w:rsidR="00000000" w:rsidDel="00000000" w:rsidP="00000000" w:rsidRDefault="00000000" w:rsidRPr="00000000" w14:paraId="00000018">
      <w:pPr>
        <w:shd w:fill="ffffff" w:val="clear"/>
        <w:spacing w:after="220" w:before="220" w:lineRule="auto"/>
        <w:jc w:val="both"/>
        <w:rPr>
          <w:i w:val="1"/>
        </w:rPr>
      </w:pPr>
      <w:r w:rsidDel="00000000" w:rsidR="00000000" w:rsidRPr="00000000">
        <w:rPr>
          <w:rtl w:val="0"/>
        </w:rPr>
      </w:r>
    </w:p>
    <w:p w:rsidR="00000000" w:rsidDel="00000000" w:rsidP="00000000" w:rsidRDefault="00000000" w:rsidRPr="00000000" w14:paraId="00000019">
      <w:pPr>
        <w:rPr>
          <w:b w:val="1"/>
          <w:i w:val="1"/>
        </w:rPr>
      </w:pPr>
      <w:r w:rsidDel="00000000" w:rsidR="00000000" w:rsidRPr="00000000">
        <w:rPr>
          <w:b w:val="1"/>
          <w:i w:val="1"/>
          <w:rtl w:val="0"/>
        </w:rPr>
        <w:t xml:space="preserve">Sobre o Sem Parar       </w:t>
      </w:r>
    </w:p>
    <w:p w:rsidR="00000000" w:rsidDel="00000000" w:rsidP="00000000" w:rsidRDefault="00000000" w:rsidRPr="00000000" w14:paraId="0000001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Com mais de 20 anos de atuação no Brasil, o Sem Parar, empresa do Grupo Fleetcor e líder em meios automáticos de pagamento, é pioneiro no país. Com mais de 6 milhões de veículos e responsável por 80% do market share do setor, a empresa está em 100% da malha pedagiada e oferece suas soluções em 13 Estados, além do Distrito Federal. A empresa apresenta mais de 5.800 pontos credenciados, entre estacionamentos, drive-thrus, lava-rápidos e condomínios, sendo mais de 2.2 mil postos de combustível. Além do SuperApp Sem Parar, que oferece mais de 20 serviços exclusivos, Sem Parar oferece amplo portfólio de planos e produtos, que se encaixam no perfil de cada cliente e podem ser adquiridos em mais de 10.000 pontos de venda próprios e de parceiros, por meio do </w:t>
      </w:r>
      <w:hyperlink r:id="rId12">
        <w:r w:rsidDel="00000000" w:rsidR="00000000" w:rsidRPr="00000000">
          <w:rPr>
            <w:rFonts w:ascii="Helvetica Neue" w:cs="Helvetica Neue" w:eastAsia="Helvetica Neue" w:hAnsi="Helvetica Neue"/>
            <w:i w:val="1"/>
            <w:u w:val="single"/>
            <w:rtl w:val="0"/>
          </w:rPr>
          <w:t xml:space="preserve">site Sem Parar</w:t>
        </w:r>
      </w:hyperlink>
      <w:r w:rsidDel="00000000" w:rsidR="00000000" w:rsidRPr="00000000">
        <w:rPr>
          <w:rFonts w:ascii="Helvetica Neue" w:cs="Helvetica Neue" w:eastAsia="Helvetica Neue" w:hAnsi="Helvetica Neue"/>
          <w:i w:val="1"/>
          <w:rtl w:val="0"/>
        </w:rPr>
        <w:t xml:space="preserve"> ou pelo Televendas. Sem Parar é ganhador de 8 prêmios Reclame Aqui; 3 vezes </w:t>
      </w:r>
      <w:r w:rsidDel="00000000" w:rsidR="00000000" w:rsidRPr="00000000">
        <w:rPr>
          <w:rFonts w:ascii="Helvetica Neue" w:cs="Helvetica Neue" w:eastAsia="Helvetica Neue" w:hAnsi="Helvetica Neue"/>
          <w:i w:val="1"/>
          <w:rtl w:val="0"/>
        </w:rPr>
        <w:t xml:space="preserve">vencedor </w:t>
      </w:r>
      <w:r w:rsidDel="00000000" w:rsidR="00000000" w:rsidRPr="00000000">
        <w:rPr>
          <w:rFonts w:ascii="Helvetica Neue" w:cs="Helvetica Neue" w:eastAsia="Helvetica Neue" w:hAnsi="Helvetica Neue"/>
          <w:i w:val="1"/>
          <w:rtl w:val="0"/>
        </w:rPr>
        <w:t xml:space="preserve">do prêmio Marcas Mais Estadão e ganhador do prêmio Mobilidade Estadão, em 2022. </w:t>
      </w:r>
    </w:p>
    <w:p w:rsidR="00000000" w:rsidDel="00000000" w:rsidP="00000000" w:rsidRDefault="00000000" w:rsidRPr="00000000" w14:paraId="0000001C">
      <w:pPr>
        <w:shd w:fill="ffffff" w:val="clear"/>
        <w:jc w:val="both"/>
        <w:rPr>
          <w:b w:val="1"/>
        </w:rPr>
      </w:pPr>
      <w:r w:rsidDel="00000000" w:rsidR="00000000" w:rsidRPr="00000000">
        <w:rPr>
          <w:rtl w:val="0"/>
        </w:rPr>
      </w:r>
    </w:p>
    <w:p w:rsidR="00000000" w:rsidDel="00000000" w:rsidP="00000000" w:rsidRDefault="00000000" w:rsidRPr="00000000" w14:paraId="0000001D">
      <w:pPr>
        <w:shd w:fill="ffffff" w:val="clear"/>
        <w:jc w:val="both"/>
        <w:rPr>
          <w:b w:val="1"/>
        </w:rPr>
      </w:pPr>
      <w:r w:rsidDel="00000000" w:rsidR="00000000" w:rsidRPr="00000000">
        <w:rPr>
          <w:rtl w:val="0"/>
        </w:rPr>
      </w:r>
    </w:p>
    <w:p w:rsidR="00000000" w:rsidDel="00000000" w:rsidP="00000000" w:rsidRDefault="00000000" w:rsidRPr="00000000" w14:paraId="0000001E">
      <w:pPr>
        <w:shd w:fill="ffffff" w:val="clear"/>
        <w:jc w:val="both"/>
        <w:rPr>
          <w:b w:val="1"/>
        </w:rPr>
      </w:pPr>
      <w:r w:rsidDel="00000000" w:rsidR="00000000" w:rsidRPr="00000000">
        <w:rPr>
          <w:b w:val="1"/>
          <w:rtl w:val="0"/>
        </w:rPr>
        <w:t xml:space="preserve">Informações para a imprensa</w:t>
      </w:r>
    </w:p>
    <w:p w:rsidR="00000000" w:rsidDel="00000000" w:rsidP="00000000" w:rsidRDefault="00000000" w:rsidRPr="00000000" w14:paraId="0000001F">
      <w:pPr>
        <w:shd w:fill="ffffff" w:val="clear"/>
        <w:jc w:val="both"/>
        <w:rPr>
          <w:b w:val="1"/>
        </w:rPr>
      </w:pPr>
      <w:r w:rsidDel="00000000" w:rsidR="00000000" w:rsidRPr="00000000">
        <w:rPr>
          <w:b w:val="1"/>
          <w:rtl w:val="0"/>
        </w:rPr>
        <w:t xml:space="preserve"> </w:t>
      </w:r>
    </w:p>
    <w:p w:rsidR="00000000" w:rsidDel="00000000" w:rsidP="00000000" w:rsidRDefault="00000000" w:rsidRPr="00000000" w14:paraId="00000020">
      <w:pPr>
        <w:shd w:fill="ffffff" w:val="clear"/>
        <w:jc w:val="both"/>
        <w:rPr/>
      </w:pPr>
      <w:r w:rsidDel="00000000" w:rsidR="00000000" w:rsidRPr="00000000">
        <w:rPr>
          <w:b w:val="1"/>
          <w:rtl w:val="0"/>
        </w:rPr>
        <w:t xml:space="preserve">Toyota do Brasil – Departamento de Comunicação</w:t>
      </w:r>
      <w:r w:rsidDel="00000000" w:rsidR="00000000" w:rsidRPr="00000000">
        <w:rPr>
          <w:rtl w:val="0"/>
        </w:rPr>
        <w:t xml:space="preserve"> </w:t>
      </w:r>
    </w:p>
    <w:p w:rsidR="00000000" w:rsidDel="00000000" w:rsidP="00000000" w:rsidRDefault="00000000" w:rsidRPr="00000000" w14:paraId="00000021">
      <w:pPr>
        <w:shd w:fill="ffffff" w:val="clear"/>
        <w:jc w:val="both"/>
        <w:rPr/>
      </w:pPr>
      <w:r w:rsidDel="00000000" w:rsidR="00000000" w:rsidRPr="00000000">
        <w:rPr>
          <w:rtl w:val="0"/>
        </w:rPr>
        <w:t xml:space="preserve">Kelly Buarque – </w:t>
      </w:r>
      <w:hyperlink r:id="rId13">
        <w:r w:rsidDel="00000000" w:rsidR="00000000" w:rsidRPr="00000000">
          <w:rPr>
            <w:u w:val="single"/>
            <w:rtl w:val="0"/>
          </w:rPr>
          <w:t xml:space="preserve">kbuarque@toyota.com.br</w:t>
        </w:r>
      </w:hyperlink>
      <w:r w:rsidDel="00000000" w:rsidR="00000000" w:rsidRPr="00000000">
        <w:rPr>
          <w:rtl w:val="0"/>
        </w:rPr>
        <w:t xml:space="preserve"> </w:t>
      </w:r>
    </w:p>
    <w:p w:rsidR="00000000" w:rsidDel="00000000" w:rsidP="00000000" w:rsidRDefault="00000000" w:rsidRPr="00000000" w14:paraId="00000022">
      <w:pPr>
        <w:shd w:fill="ffffff" w:val="clear"/>
        <w:jc w:val="both"/>
        <w:rPr/>
      </w:pPr>
      <w:r w:rsidDel="00000000" w:rsidR="00000000" w:rsidRPr="00000000">
        <w:rPr>
          <w:rtl w:val="0"/>
        </w:rPr>
        <w:t xml:space="preserve">Kessia Santos – </w:t>
      </w:r>
      <w:hyperlink r:id="rId14">
        <w:r w:rsidDel="00000000" w:rsidR="00000000" w:rsidRPr="00000000">
          <w:rPr>
            <w:u w:val="single"/>
            <w:rtl w:val="0"/>
          </w:rPr>
          <w:t xml:space="preserve">kosantos@toyota.com.br</w:t>
        </w:r>
      </w:hyperlink>
      <w:r w:rsidDel="00000000" w:rsidR="00000000" w:rsidRPr="00000000">
        <w:rPr>
          <w:rtl w:val="0"/>
        </w:rPr>
        <w:t xml:space="preserve">  </w:t>
      </w:r>
    </w:p>
    <w:p w:rsidR="00000000" w:rsidDel="00000000" w:rsidP="00000000" w:rsidRDefault="00000000" w:rsidRPr="00000000" w14:paraId="00000023">
      <w:pPr>
        <w:shd w:fill="ffffff" w:val="clear"/>
        <w:jc w:val="both"/>
        <w:rPr/>
      </w:pPr>
      <w:r w:rsidDel="00000000" w:rsidR="00000000" w:rsidRPr="00000000">
        <w:rPr>
          <w:rtl w:val="0"/>
        </w:rPr>
      </w:r>
    </w:p>
    <w:p w:rsidR="00000000" w:rsidDel="00000000" w:rsidP="00000000" w:rsidRDefault="00000000" w:rsidRPr="00000000" w14:paraId="00000024">
      <w:pPr>
        <w:shd w:fill="ffffff" w:val="clear"/>
        <w:jc w:val="both"/>
        <w:rPr>
          <w:b w:val="1"/>
        </w:rPr>
      </w:pPr>
      <w:r w:rsidDel="00000000" w:rsidR="00000000" w:rsidRPr="00000000">
        <w:rPr>
          <w:b w:val="1"/>
          <w:rtl w:val="0"/>
        </w:rPr>
        <w:t xml:space="preserve">RPMA Comunicação</w:t>
      </w:r>
    </w:p>
    <w:p w:rsidR="00000000" w:rsidDel="00000000" w:rsidP="00000000" w:rsidRDefault="00000000" w:rsidRPr="00000000" w14:paraId="00000025">
      <w:pPr>
        <w:shd w:fill="ffffff" w:val="clear"/>
        <w:jc w:val="both"/>
        <w:rPr/>
      </w:pPr>
      <w:hyperlink r:id="rId15">
        <w:r w:rsidDel="00000000" w:rsidR="00000000" w:rsidRPr="00000000">
          <w:rPr>
            <w:u w:val="single"/>
            <w:rtl w:val="0"/>
          </w:rPr>
          <w:t xml:space="preserve">toyota@rpmacomunicacao.com.br</w:t>
        </w:r>
      </w:hyperlink>
      <w:r w:rsidDel="00000000" w:rsidR="00000000" w:rsidRPr="00000000">
        <w:rPr>
          <w:rtl w:val="0"/>
        </w:rPr>
        <w:t xml:space="preserve">  </w:t>
      </w:r>
    </w:p>
    <w:p w:rsidR="00000000" w:rsidDel="00000000" w:rsidP="00000000" w:rsidRDefault="00000000" w:rsidRPr="00000000" w14:paraId="00000026">
      <w:pPr>
        <w:shd w:fill="ffffff" w:val="clear"/>
        <w:jc w:val="both"/>
        <w:rPr>
          <w:b w:val="1"/>
        </w:rPr>
      </w:pPr>
      <w:r w:rsidDel="00000000" w:rsidR="00000000" w:rsidRPr="00000000">
        <w:rPr>
          <w:b w:val="1"/>
          <w:rtl w:val="0"/>
        </w:rPr>
        <w:t xml:space="preserve">Guilherme Magna – </w:t>
      </w:r>
      <w:r w:rsidDel="00000000" w:rsidR="00000000" w:rsidRPr="00000000">
        <w:rPr>
          <w:rtl w:val="0"/>
        </w:rPr>
        <w:t xml:space="preserve">(11) 98600-8988</w:t>
      </w:r>
      <w:r w:rsidDel="00000000" w:rsidR="00000000" w:rsidRPr="00000000">
        <w:rPr>
          <w:b w:val="1"/>
          <w:rtl w:val="0"/>
        </w:rPr>
        <w:t xml:space="preserve"> </w:t>
      </w:r>
    </w:p>
    <w:p w:rsidR="00000000" w:rsidDel="00000000" w:rsidP="00000000" w:rsidRDefault="00000000" w:rsidRPr="00000000" w14:paraId="00000027">
      <w:pPr>
        <w:shd w:fill="ffffff" w:val="clear"/>
        <w:jc w:val="both"/>
        <w:rPr/>
      </w:pPr>
      <w:r w:rsidDel="00000000" w:rsidR="00000000" w:rsidRPr="00000000">
        <w:rPr>
          <w:b w:val="1"/>
          <w:rtl w:val="0"/>
        </w:rPr>
        <w:t xml:space="preserve">Leonardo Araújo – </w:t>
      </w:r>
      <w:r w:rsidDel="00000000" w:rsidR="00000000" w:rsidRPr="00000000">
        <w:rPr>
          <w:rtl w:val="0"/>
        </w:rPr>
        <w:t xml:space="preserve">(11) 96084-0473</w:t>
      </w:r>
    </w:p>
    <w:p w:rsidR="00000000" w:rsidDel="00000000" w:rsidP="00000000" w:rsidRDefault="00000000" w:rsidRPr="00000000" w14:paraId="00000028">
      <w:pPr>
        <w:shd w:fill="ffffff" w:val="clear"/>
        <w:jc w:val="both"/>
        <w:rPr/>
      </w:pPr>
      <w:r w:rsidDel="00000000" w:rsidR="00000000" w:rsidRPr="00000000">
        <w:rPr>
          <w:b w:val="1"/>
          <w:rtl w:val="0"/>
        </w:rPr>
        <w:t xml:space="preserve">Raphaella Abrahão – </w:t>
      </w:r>
      <w:r w:rsidDel="00000000" w:rsidR="00000000" w:rsidRPr="00000000">
        <w:rPr>
          <w:rtl w:val="0"/>
        </w:rPr>
        <w:t xml:space="preserve">(11) 94188-7017</w:t>
      </w:r>
    </w:p>
    <w:p w:rsidR="00000000" w:rsidDel="00000000" w:rsidP="00000000" w:rsidRDefault="00000000" w:rsidRPr="00000000" w14:paraId="00000029">
      <w:pPr>
        <w:shd w:fill="ffffff" w:val="clear"/>
        <w:jc w:val="both"/>
        <w:rPr/>
      </w:pPr>
      <w:r w:rsidDel="00000000" w:rsidR="00000000" w:rsidRPr="00000000">
        <w:rPr>
          <w:b w:val="1"/>
          <w:rtl w:val="0"/>
        </w:rPr>
        <w:t xml:space="preserve">Fernando Irribarra – </w:t>
      </w:r>
      <w:r w:rsidDel="00000000" w:rsidR="00000000" w:rsidRPr="00000000">
        <w:rPr>
          <w:rtl w:val="0"/>
        </w:rPr>
        <w:t xml:space="preserve">(11) 97418-3710</w:t>
      </w:r>
    </w:p>
    <w:p w:rsidR="00000000" w:rsidDel="00000000" w:rsidP="00000000" w:rsidRDefault="00000000" w:rsidRPr="00000000" w14:paraId="0000002A">
      <w:pPr>
        <w:shd w:fill="ffffff" w:val="clear"/>
        <w:jc w:val="both"/>
        <w:rPr>
          <w:b w:val="1"/>
        </w:rPr>
      </w:pPr>
      <w:r w:rsidDel="00000000" w:rsidR="00000000" w:rsidRPr="00000000">
        <w:rPr>
          <w:b w:val="1"/>
          <w:rtl w:val="0"/>
        </w:rPr>
        <w:t xml:space="preserve">Tel.: 11 5501-4655</w:t>
      </w:r>
    </w:p>
    <w:p w:rsidR="00000000" w:rsidDel="00000000" w:rsidP="00000000" w:rsidRDefault="00000000" w:rsidRPr="00000000" w14:paraId="0000002B">
      <w:pPr>
        <w:shd w:fill="ffffff" w:val="clear"/>
        <w:jc w:val="both"/>
        <w:rPr>
          <w:u w:val="single"/>
        </w:rPr>
      </w:pPr>
      <w:hyperlink r:id="rId16">
        <w:r w:rsidDel="00000000" w:rsidR="00000000" w:rsidRPr="00000000">
          <w:rPr>
            <w:u w:val="single"/>
            <w:rtl w:val="0"/>
          </w:rPr>
          <w:t xml:space="preserve">www.rpmacomunicacao.com.br</w:t>
        </w:r>
      </w:hyperlink>
      <w:r w:rsidDel="00000000" w:rsidR="00000000" w:rsidRPr="00000000">
        <w:rPr>
          <w:u w:val="single"/>
          <w:rtl w:val="0"/>
        </w:rPr>
        <w:t xml:space="preserve"> </w:t>
      </w:r>
    </w:p>
    <w:p w:rsidR="00000000" w:rsidDel="00000000" w:rsidP="00000000" w:rsidRDefault="00000000" w:rsidRPr="00000000" w14:paraId="0000002C">
      <w:pPr>
        <w:shd w:fill="ffffff" w:val="clear"/>
        <w:spacing w:after="160" w:line="240" w:lineRule="auto"/>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Informações para a Imprensa/Sem Parar: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Pr>
        <w:drawing>
          <wp:inline distB="0" distT="0" distL="0" distR="0">
            <wp:extent cx="571500" cy="165100"/>
            <wp:effectExtent b="0" l="0" r="0" t="0"/>
            <wp:docPr id="6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15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Relações Públicas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Carlos Murilo (11) 983468108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hyperlink r:id="rId18">
        <w:r w:rsidDel="00000000" w:rsidR="00000000" w:rsidRPr="00000000">
          <w:rPr>
            <w:rFonts w:ascii="Montserrat" w:cs="Montserrat" w:eastAsia="Montserrat" w:hAnsi="Montserrat"/>
            <w:b w:val="0"/>
            <w:i w:val="0"/>
            <w:smallCaps w:val="0"/>
            <w:strike w:val="0"/>
            <w:color w:val="0563c1"/>
            <w:sz w:val="20"/>
            <w:szCs w:val="20"/>
            <w:u w:val="single"/>
            <w:shd w:fill="auto" w:val="clear"/>
            <w:vertAlign w:val="baseline"/>
            <w:rtl w:val="0"/>
          </w:rPr>
          <w:t xml:space="preserve">camaral@golin.com</w:t>
        </w:r>
      </w:hyperlink>
      <w:hyperlink r:id="rId1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shd w:fill="ffffff" w:val="clear"/>
        <w:spacing w:after="220" w:before="220" w:lineRule="auto"/>
        <w:rPr/>
      </w:pPr>
      <w:r w:rsidDel="00000000" w:rsidR="00000000" w:rsidRPr="00000000">
        <w:rPr>
          <w:rtl w:val="0"/>
        </w:rPr>
      </w:r>
    </w:p>
    <w:sectPr>
      <w:headerReference r:id="rId20" w:type="default"/>
      <w:headerReference r:id="rId21" w:type="first"/>
      <w:headerReference r:id="rId22"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tabs>
        <w:tab w:val="center" w:pos="4252"/>
        <w:tab w:val="right" w:pos="8504"/>
      </w:tabs>
      <w:spacing w:line="240" w:lineRule="auto"/>
      <w:rPr>
        <w:color w:val="000000"/>
      </w:rPr>
    </w:pPr>
    <w:r w:rsidDel="00000000" w:rsidR="00000000" w:rsidRPr="00000000">
      <w:rPr/>
      <w:drawing>
        <wp:inline distB="114300" distT="114300" distL="114300" distR="114300">
          <wp:extent cx="1524000" cy="444500"/>
          <wp:effectExtent b="0" l="0" r="0" t="0"/>
          <wp:docPr id="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4000" cy="444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-152395</wp:posOffset>
          </wp:positionV>
          <wp:extent cx="863600" cy="539750"/>
          <wp:effectExtent b="0" l="0" r="0" t="0"/>
          <wp:wrapSquare wrapText="bothSides" distB="114300" distT="114300" distL="114300" distR="114300"/>
          <wp:docPr id="5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63600" cy="5397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2552700</wp:posOffset>
              </wp:positionH>
              <wp:positionV relativeFrom="paragraph">
                <wp:posOffset>0</wp:posOffset>
              </wp:positionV>
              <wp:extent cx="510540" cy="510540"/>
              <wp:effectExtent b="0" l="0" r="0" t="0"/>
              <wp:wrapSquare wrapText="bothSides" distB="0" distT="0" distL="0" distR="0"/>
              <wp:docPr descr="• PUBLIC 公開" id="56"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MS UI Gothic" w:cs="MS UI Gothic" w:eastAsia="MS UI Gothic" w:hAnsi="MS UI Gothic"/>
                              <w:b w:val="0"/>
                              <w:i w:val="0"/>
                              <w:smallCaps w:val="0"/>
                              <w:strike w:val="0"/>
                              <w:color w:val="008000"/>
                              <w:sz w:val="20"/>
                              <w:vertAlign w:val="baseline"/>
                            </w:rPr>
                            <w:t xml:space="preserve">• PUBLIC 公開</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2552700</wp:posOffset>
              </wp:positionH>
              <wp:positionV relativeFrom="paragraph">
                <wp:posOffset>0</wp:posOffset>
              </wp:positionV>
              <wp:extent cx="510540" cy="510540"/>
              <wp:effectExtent b="0" l="0" r="0" t="0"/>
              <wp:wrapSquare wrapText="bothSides" distB="0" distT="0" distL="0" distR="0"/>
              <wp:docPr descr="• PUBLIC 公開" id="56" name="image6.png"/>
              <a:graphic>
                <a:graphicData uri="http://schemas.openxmlformats.org/drawingml/2006/picture">
                  <pic:pic>
                    <pic:nvPicPr>
                      <pic:cNvPr descr="• PUBLIC 公開" id="0" name="image6.png"/>
                      <pic:cNvPicPr preferRelativeResize="0"/>
                    </pic:nvPicPr>
                    <pic:blipFill>
                      <a:blip r:embed="rId1"/>
                      <a:srcRect/>
                      <a:stretch>
                        <a:fillRect/>
                      </a:stretch>
                    </pic:blipFill>
                    <pic:spPr>
                      <a:xfrm>
                        <a:off x="0" y="0"/>
                        <a:ext cx="510540" cy="51054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2552700</wp:posOffset>
              </wp:positionH>
              <wp:positionV relativeFrom="paragraph">
                <wp:posOffset>0</wp:posOffset>
              </wp:positionV>
              <wp:extent cx="510540" cy="510540"/>
              <wp:effectExtent b="0" l="0" r="0" t="0"/>
              <wp:wrapSquare wrapText="bothSides" distB="0" distT="0" distL="0" distR="0"/>
              <wp:docPr descr="• PUBLIC 公開" id="57" name=""/>
              <a:graphic>
                <a:graphicData uri="http://schemas.microsoft.com/office/word/2010/wordprocessingShape">
                  <wps:wsp>
                    <wps:cNvSpPr/>
                    <wps:cNvPr id="3" name="Shape 3"/>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MS UI Gothic" w:cs="MS UI Gothic" w:eastAsia="MS UI Gothic" w:hAnsi="MS UI Gothic"/>
                              <w:b w:val="0"/>
                              <w:i w:val="0"/>
                              <w:smallCaps w:val="0"/>
                              <w:strike w:val="0"/>
                              <w:color w:val="008000"/>
                              <w:sz w:val="20"/>
                              <w:vertAlign w:val="baseline"/>
                            </w:rPr>
                            <w:t xml:space="preserve">• PUBLIC 公開</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2552700</wp:posOffset>
              </wp:positionH>
              <wp:positionV relativeFrom="paragraph">
                <wp:posOffset>0</wp:posOffset>
              </wp:positionV>
              <wp:extent cx="510540" cy="510540"/>
              <wp:effectExtent b="0" l="0" r="0" t="0"/>
              <wp:wrapSquare wrapText="bothSides" distB="0" distT="0" distL="0" distR="0"/>
              <wp:docPr descr="• PUBLIC 公開" id="57" name="image7.png"/>
              <a:graphic>
                <a:graphicData uri="http://schemas.openxmlformats.org/drawingml/2006/picture">
                  <pic:pic>
                    <pic:nvPicPr>
                      <pic:cNvPr descr="• PUBLIC 公開" id="0" name="image7.png"/>
                      <pic:cNvPicPr preferRelativeResize="0"/>
                    </pic:nvPicPr>
                    <pic:blipFill>
                      <a:blip r:embed="rId1"/>
                      <a:srcRect/>
                      <a:stretch>
                        <a:fillRect/>
                      </a:stretch>
                    </pic:blipFill>
                    <pic:spPr>
                      <a:xfrm>
                        <a:off x="0" y="0"/>
                        <a:ext cx="510540" cy="51054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22" w:customStyle="1">
    <w:name w:val="Table Normal22"/>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21" w:customStyle="1">
    <w:name w:val="Table Normal21"/>
    <w:tblPr>
      <w:tblCellMar>
        <w:top w:w="0.0" w:type="dxa"/>
        <w:left w:w="0.0" w:type="dxa"/>
        <w:bottom w:w="0.0" w:type="dxa"/>
        <w:right w:w="0.0" w:type="dxa"/>
      </w:tblCellMar>
    </w:tblPr>
  </w:style>
  <w:style w:type="table" w:styleId="TableNormal20" w:customStyle="1">
    <w:name w:val="Table Normal20"/>
    <w:tblPr>
      <w:tblCellMar>
        <w:top w:w="0.0" w:type="dxa"/>
        <w:left w:w="0.0" w:type="dxa"/>
        <w:bottom w:w="0.0" w:type="dxa"/>
        <w:right w:w="0.0" w:type="dxa"/>
      </w:tblCellMar>
    </w:tblPr>
  </w:style>
  <w:style w:type="table" w:styleId="TableNormal19" w:customStyle="1">
    <w:name w:val="Table Normal19"/>
    <w:tblPr>
      <w:tblCellMar>
        <w:top w:w="0.0" w:type="dxa"/>
        <w:left w:w="0.0" w:type="dxa"/>
        <w:bottom w:w="0.0" w:type="dxa"/>
        <w:right w:w="0.0" w:type="dxa"/>
      </w:tblCellMar>
    </w:tblPr>
  </w:style>
  <w:style w:type="table" w:styleId="TableNormal18" w:customStyle="1">
    <w:name w:val="Table Normal18"/>
    <w:rsid w:val="00824BE8"/>
    <w:tblPr>
      <w:tblCellMar>
        <w:top w:w="0.0" w:type="dxa"/>
        <w:left w:w="0.0" w:type="dxa"/>
        <w:bottom w:w="0.0" w:type="dxa"/>
        <w:right w:w="0.0" w:type="dxa"/>
      </w:tblCellMar>
    </w:tblPr>
  </w:style>
  <w:style w:type="table" w:styleId="TableNormal13" w:customStyle="1">
    <w:name w:val="Table Normal13"/>
    <w:rsid w:val="00FE112B"/>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elanormal"/>
    <w:tblPr>
      <w:tblStyleRowBandSize w:val="1"/>
      <w:tblStyleColBandSize w:val="1"/>
      <w:tblInd w:w="0.0" w:type="nil"/>
      <w:tblCellMar>
        <w:top w:w="100.0" w:type="dxa"/>
        <w:left w:w="100.0" w:type="dxa"/>
        <w:bottom w:w="100.0" w:type="dxa"/>
        <w:right w:w="100.0" w:type="dxa"/>
      </w:tblCellMar>
    </w:tblPr>
    <w:tcPr>
      <w:shd w:color="auto" w:fill="ffffff" w:val="clear"/>
    </w:tcPr>
  </w:style>
  <w:style w:type="paragraph" w:styleId="Cabealho">
    <w:name w:val="header"/>
    <w:basedOn w:val="Normal"/>
    <w:link w:val="CabealhoChar"/>
    <w:uiPriority w:val="99"/>
    <w:unhideWhenUsed w:val="1"/>
    <w:rsid w:val="00A26CC4"/>
    <w:pPr>
      <w:tabs>
        <w:tab w:val="center" w:pos="4252"/>
        <w:tab w:val="right" w:pos="8504"/>
      </w:tabs>
      <w:spacing w:line="240" w:lineRule="auto"/>
    </w:pPr>
  </w:style>
  <w:style w:type="character" w:styleId="CabealhoChar" w:customStyle="1">
    <w:name w:val="Cabeçalho Char"/>
    <w:basedOn w:val="Fontepargpadro"/>
    <w:link w:val="Cabealho"/>
    <w:uiPriority w:val="99"/>
    <w:rsid w:val="00A26CC4"/>
  </w:style>
  <w:style w:type="paragraph" w:styleId="Reviso">
    <w:name w:val="Revision"/>
    <w:hidden w:val="1"/>
    <w:uiPriority w:val="99"/>
    <w:semiHidden w:val="1"/>
    <w:rsid w:val="00304F1A"/>
    <w:pPr>
      <w:spacing w:line="240" w:lineRule="auto"/>
    </w:pPr>
  </w:style>
  <w:style w:type="paragraph" w:styleId="PargrafodaLista">
    <w:name w:val="List Paragraph"/>
    <w:basedOn w:val="Normal"/>
    <w:uiPriority w:val="34"/>
    <w:qFormat w:val="1"/>
    <w:rsid w:val="00304F1A"/>
    <w:pPr>
      <w:ind w:left="720"/>
      <w:contextualSpacing w:val="1"/>
    </w:pPr>
  </w:style>
  <w:style w:type="character" w:styleId="Refdecomentrio">
    <w:name w:val="annotation reference"/>
    <w:basedOn w:val="Fontepargpadro"/>
    <w:uiPriority w:val="99"/>
    <w:semiHidden w:val="1"/>
    <w:unhideWhenUsed w:val="1"/>
    <w:rsid w:val="00572659"/>
    <w:rPr>
      <w:sz w:val="16"/>
      <w:szCs w:val="16"/>
    </w:rPr>
  </w:style>
  <w:style w:type="paragraph" w:styleId="Textodecomentrio">
    <w:name w:val="annotation text"/>
    <w:basedOn w:val="Normal"/>
    <w:link w:val="TextodecomentrioChar"/>
    <w:uiPriority w:val="99"/>
    <w:unhideWhenUsed w:val="1"/>
    <w:rsid w:val="00572659"/>
    <w:pPr>
      <w:spacing w:line="240" w:lineRule="auto"/>
    </w:pPr>
    <w:rPr>
      <w:sz w:val="20"/>
      <w:szCs w:val="20"/>
    </w:rPr>
  </w:style>
  <w:style w:type="character" w:styleId="TextodecomentrioChar" w:customStyle="1">
    <w:name w:val="Texto de comentário Char"/>
    <w:basedOn w:val="Fontepargpadro"/>
    <w:link w:val="Textodecomentrio"/>
    <w:uiPriority w:val="99"/>
    <w:rsid w:val="00572659"/>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572659"/>
    <w:rPr>
      <w:b w:val="1"/>
      <w:bCs w:val="1"/>
    </w:rPr>
  </w:style>
  <w:style w:type="character" w:styleId="AssuntodocomentrioChar" w:customStyle="1">
    <w:name w:val="Assunto do comentário Char"/>
    <w:basedOn w:val="TextodecomentrioChar"/>
    <w:link w:val="Assuntodocomentrio"/>
    <w:uiPriority w:val="99"/>
    <w:semiHidden w:val="1"/>
    <w:rsid w:val="00572659"/>
    <w:rPr>
      <w:b w:val="1"/>
      <w:bCs w:val="1"/>
      <w:sz w:val="20"/>
      <w:szCs w:val="20"/>
    </w:rPr>
  </w:style>
  <w:style w:type="table" w:styleId="Tabelacomgrade">
    <w:name w:val="Table Grid"/>
    <w:basedOn w:val="Tabelanormal"/>
    <w:uiPriority w:val="39"/>
    <w:rsid w:val="00D062F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elanormal"/>
    <w:tblPr>
      <w:tblStyleRowBandSize w:val="1"/>
      <w:tblStyleColBandSize w:val="1"/>
      <w:tblInd w:w="0.0" w:type="nil"/>
      <w:tblCellMar>
        <w:left w:w="115.0" w:type="dxa"/>
        <w:right w:w="115.0" w:type="dxa"/>
      </w:tblCellMar>
    </w:tblPr>
    <w:tcPr>
      <w:shd w:color="auto" w:fill="ffffff" w:val="clear"/>
    </w:tcPr>
  </w:style>
  <w:style w:type="table" w:styleId="a1" w:customStyle="1">
    <w:basedOn w:val="Tabelanormal"/>
    <w:pPr>
      <w:spacing w:line="240" w:lineRule="auto"/>
    </w:pPr>
    <w:tblPr>
      <w:tblStyleRowBandSize w:val="1"/>
      <w:tblStyleColBandSize w:val="1"/>
      <w:tblInd w:w="0.0" w:type="nil"/>
    </w:tblPr>
  </w:style>
  <w:style w:type="table" w:styleId="a2" w:customStyle="1">
    <w:basedOn w:val="Tabelanormal"/>
    <w:pPr>
      <w:spacing w:line="240" w:lineRule="auto"/>
    </w:pPr>
    <w:tblPr>
      <w:tblStyleRowBandSize w:val="1"/>
      <w:tblStyleColBandSize w:val="1"/>
    </w:tblPr>
    <w:tcPr>
      <w:shd w:color="auto" w:fill="ffffff" w:val="clear"/>
    </w:tcPr>
  </w:style>
  <w:style w:type="table" w:styleId="a3" w:customStyle="1">
    <w:basedOn w:val="Tabelanormal"/>
    <w:pPr>
      <w:spacing w:line="240" w:lineRule="auto"/>
    </w:pPr>
    <w:tblPr>
      <w:tblStyleRowBandSize w:val="1"/>
      <w:tblStyleColBandSize w:val="1"/>
    </w:tblPr>
    <w:tcPr>
      <w:shd w:color="auto" w:fill="ffffff" w:val="clear"/>
    </w:tcPr>
  </w:style>
  <w:style w:type="table" w:styleId="a4" w:customStyle="1">
    <w:basedOn w:val="Tabelanormal"/>
    <w:pPr>
      <w:spacing w:line="240" w:lineRule="auto"/>
    </w:pPr>
    <w:tblPr>
      <w:tblStyleRowBandSize w:val="1"/>
      <w:tblStyleColBandSize w:val="1"/>
      <w:tblCellMar>
        <w:left w:w="115.0" w:type="dxa"/>
        <w:right w:w="115.0" w:type="dxa"/>
      </w:tblCellMar>
    </w:tblPr>
    <w:tcPr>
      <w:shd w:color="auto" w:fill="ffffff" w:val="clear"/>
    </w:tcPr>
  </w:style>
  <w:style w:type="table" w:styleId="a5" w:customStyle="1">
    <w:basedOn w:val="Tabelanormal"/>
    <w:tblPr>
      <w:tblStyleRowBandSize w:val="1"/>
      <w:tblStyleColBandSize w:val="1"/>
      <w:tblCellMar>
        <w:top w:w="100.0" w:type="dxa"/>
        <w:left w:w="100.0" w:type="dxa"/>
        <w:bottom w:w="100.0" w:type="dxa"/>
        <w:right w:w="100.0" w:type="dxa"/>
      </w:tblCellMar>
    </w:tblPr>
  </w:style>
  <w:style w:type="table" w:styleId="a6" w:customStyle="1">
    <w:basedOn w:val="TableNormal19"/>
    <w:pPr>
      <w:spacing w:line="240" w:lineRule="auto"/>
    </w:pPr>
    <w:tblPr>
      <w:tblStyleRowBandSize w:val="1"/>
      <w:tblStyleColBandSize w:val="1"/>
      <w:tblCellMar>
        <w:top w:w="100.0" w:type="dxa"/>
        <w:left w:w="100.0" w:type="dxa"/>
        <w:bottom w:w="100.0" w:type="dxa"/>
        <w:right w:w="100.0" w:type="dxa"/>
      </w:tblCellMar>
    </w:tblPr>
    <w:tcPr>
      <w:shd w:color="auto" w:fill="ffffff" w:val="clear"/>
    </w:tcPr>
  </w:style>
  <w:style w:type="table" w:styleId="a7" w:customStyle="1">
    <w:basedOn w:val="TableNormal19"/>
    <w:pPr>
      <w:spacing w:line="240" w:lineRule="auto"/>
    </w:pPr>
    <w:tblPr>
      <w:tblStyleRowBandSize w:val="1"/>
      <w:tblStyleColBandSize w:val="1"/>
      <w:tblCellMar>
        <w:top w:w="100.0" w:type="dxa"/>
        <w:left w:w="100.0" w:type="dxa"/>
        <w:bottom w:w="100.0" w:type="dxa"/>
        <w:right w:w="100.0" w:type="dxa"/>
      </w:tblCellMar>
    </w:tblPr>
    <w:tcPr>
      <w:shd w:color="auto" w:fill="ffffff" w:val="clear"/>
    </w:tcPr>
  </w:style>
  <w:style w:type="paragraph" w:styleId="Rodap">
    <w:name w:val="footer"/>
    <w:basedOn w:val="Normal"/>
    <w:link w:val="RodapChar"/>
    <w:uiPriority w:val="99"/>
    <w:unhideWhenUsed w:val="1"/>
    <w:rsid w:val="00F15BD0"/>
    <w:pPr>
      <w:tabs>
        <w:tab w:val="center" w:pos="4252"/>
        <w:tab w:val="right" w:pos="8504"/>
      </w:tabs>
      <w:spacing w:line="240" w:lineRule="auto"/>
    </w:pPr>
  </w:style>
  <w:style w:type="character" w:styleId="RodapChar" w:customStyle="1">
    <w:name w:val="Rodapé Char"/>
    <w:basedOn w:val="Fontepargpadro"/>
    <w:link w:val="Rodap"/>
    <w:uiPriority w:val="99"/>
    <w:rsid w:val="00F15BD0"/>
  </w:style>
  <w:style w:type="character" w:styleId="Hyperlink">
    <w:name w:val="Hyperlink"/>
    <w:basedOn w:val="Fontepargpadro"/>
    <w:uiPriority w:val="99"/>
    <w:unhideWhenUsed w:val="1"/>
    <w:rsid w:val="00C2630D"/>
    <w:rPr>
      <w:color w:val="0000ff" w:themeColor="hyperlink"/>
      <w:u w:val="single"/>
    </w:rPr>
  </w:style>
  <w:style w:type="character" w:styleId="MenoPendente">
    <w:name w:val="Unresolved Mention"/>
    <w:basedOn w:val="Fontepargpadro"/>
    <w:uiPriority w:val="99"/>
    <w:semiHidden w:val="1"/>
    <w:unhideWhenUsed w:val="1"/>
    <w:rsid w:val="00C2630D"/>
    <w:rPr>
      <w:color w:val="605e5c"/>
      <w:shd w:color="auto" w:fill="e1dfdd" w:val="clear"/>
    </w:rPr>
  </w:style>
  <w:style w:type="table" w:styleId="a8" w:customStyle="1">
    <w:basedOn w:val="TableNormal20"/>
    <w:tblPr>
      <w:tblStyleRowBandSize w:val="1"/>
      <w:tblStyleColBandSize w:val="1"/>
      <w:tblCellMar>
        <w:left w:w="115.0" w:type="dxa"/>
        <w:right w:w="115.0" w:type="dxa"/>
      </w:tblCellMar>
    </w:tblPr>
  </w:style>
  <w:style w:type="table" w:styleId="a9" w:customStyle="1">
    <w:basedOn w:val="TableNormal20"/>
    <w:tblPr>
      <w:tblStyleRowBandSize w:val="1"/>
      <w:tblStyleColBandSize w:val="1"/>
      <w:tblCellMar>
        <w:left w:w="115.0" w:type="dxa"/>
        <w:right w:w="115.0" w:type="dxa"/>
      </w:tblCellMar>
    </w:tblPr>
  </w:style>
  <w:style w:type="table" w:styleId="TableNormal1" w:customStyle="1">
    <w:name w:val="Table Normal1"/>
    <w:rsid w:val="00174D1C"/>
    <w:tblPr>
      <w:tblCellMar>
        <w:top w:w="0.0" w:type="dxa"/>
        <w:left w:w="0.0" w:type="dxa"/>
        <w:bottom w:w="0.0" w:type="dxa"/>
        <w:right w:w="0.0" w:type="dxa"/>
      </w:tblCellMar>
    </w:tblPr>
  </w:style>
  <w:style w:type="table" w:styleId="TableNormal2" w:customStyle="1">
    <w:name w:val="Table Normal2"/>
    <w:rsid w:val="00174D1C"/>
    <w:tblPr>
      <w:tblCellMar>
        <w:top w:w="0.0" w:type="dxa"/>
        <w:left w:w="0.0" w:type="dxa"/>
        <w:bottom w:w="0.0" w:type="dxa"/>
        <w:right w:w="0.0" w:type="dxa"/>
      </w:tblCellMar>
    </w:tblPr>
  </w:style>
  <w:style w:type="table" w:styleId="TableNormal3" w:customStyle="1">
    <w:name w:val="Table Normal3"/>
    <w:rsid w:val="00174D1C"/>
    <w:tblPr>
      <w:tblCellMar>
        <w:top w:w="0.0" w:type="dxa"/>
        <w:left w:w="0.0" w:type="dxa"/>
        <w:bottom w:w="0.0" w:type="dxa"/>
        <w:right w:w="0.0" w:type="dxa"/>
      </w:tblCellMar>
    </w:tblPr>
  </w:style>
  <w:style w:type="table" w:styleId="TableNormal4" w:customStyle="1">
    <w:name w:val="Table Normal4"/>
    <w:rsid w:val="00174D1C"/>
    <w:tblPr>
      <w:tblCellMar>
        <w:top w:w="0.0" w:type="dxa"/>
        <w:left w:w="0.0" w:type="dxa"/>
        <w:bottom w:w="0.0" w:type="dxa"/>
        <w:right w:w="0.0" w:type="dxa"/>
      </w:tblCellMar>
    </w:tblPr>
  </w:style>
  <w:style w:type="table" w:styleId="TableNormal5" w:customStyle="1">
    <w:name w:val="Table Normal5"/>
    <w:rsid w:val="00174D1C"/>
    <w:tblPr>
      <w:tblCellMar>
        <w:top w:w="0.0" w:type="dxa"/>
        <w:left w:w="0.0" w:type="dxa"/>
        <w:bottom w:w="0.0" w:type="dxa"/>
        <w:right w:w="0.0" w:type="dxa"/>
      </w:tblCellMar>
    </w:tblPr>
  </w:style>
  <w:style w:type="table" w:styleId="TableNormal6" w:customStyle="1">
    <w:name w:val="Table Normal6"/>
    <w:rsid w:val="00174D1C"/>
    <w:tblPr>
      <w:tblCellMar>
        <w:top w:w="0.0" w:type="dxa"/>
        <w:left w:w="0.0" w:type="dxa"/>
        <w:bottom w:w="0.0" w:type="dxa"/>
        <w:right w:w="0.0" w:type="dxa"/>
      </w:tblCellMar>
    </w:tblPr>
  </w:style>
  <w:style w:type="table" w:styleId="TableNormal7" w:customStyle="1">
    <w:name w:val="Table Normal7"/>
    <w:rsid w:val="00174D1C"/>
    <w:tblPr>
      <w:tblCellMar>
        <w:top w:w="0.0" w:type="dxa"/>
        <w:left w:w="0.0" w:type="dxa"/>
        <w:bottom w:w="0.0" w:type="dxa"/>
        <w:right w:w="0.0" w:type="dxa"/>
      </w:tblCellMar>
    </w:tblPr>
  </w:style>
  <w:style w:type="table" w:styleId="TableNormal12" w:customStyle="1">
    <w:name w:val="Table Normal12"/>
    <w:rsid w:val="00FE112B"/>
    <w:tblPr>
      <w:tblCellMar>
        <w:top w:w="0.0" w:type="dxa"/>
        <w:left w:w="0.0" w:type="dxa"/>
        <w:bottom w:w="0.0" w:type="dxa"/>
        <w:right w:w="0.0" w:type="dxa"/>
      </w:tblCellMar>
    </w:tblPr>
  </w:style>
  <w:style w:type="table" w:styleId="TableNormal11" w:customStyle="1">
    <w:name w:val="Table Normal11"/>
    <w:rsid w:val="00FE112B"/>
    <w:tblPr>
      <w:tblCellMar>
        <w:top w:w="0.0" w:type="dxa"/>
        <w:left w:w="0.0" w:type="dxa"/>
        <w:bottom w:w="0.0" w:type="dxa"/>
        <w:right w:w="0.0" w:type="dxa"/>
      </w:tblCellMar>
    </w:tblPr>
  </w:style>
  <w:style w:type="table" w:styleId="TableNormal10" w:customStyle="1">
    <w:name w:val="Table Normal10"/>
    <w:rsid w:val="00FE112B"/>
    <w:tblPr>
      <w:tblCellMar>
        <w:top w:w="0.0" w:type="dxa"/>
        <w:left w:w="0.0" w:type="dxa"/>
        <w:bottom w:w="0.0" w:type="dxa"/>
        <w:right w:w="0.0" w:type="dxa"/>
      </w:tblCellMar>
    </w:tblPr>
  </w:style>
  <w:style w:type="table" w:styleId="TableNormal9" w:customStyle="1">
    <w:name w:val="Table Normal9"/>
    <w:rsid w:val="00FE112B"/>
    <w:tblPr>
      <w:tblCellMar>
        <w:top w:w="0.0" w:type="dxa"/>
        <w:left w:w="0.0" w:type="dxa"/>
        <w:bottom w:w="0.0" w:type="dxa"/>
        <w:right w:w="0.0" w:type="dxa"/>
      </w:tblCellMar>
    </w:tblPr>
  </w:style>
  <w:style w:type="table" w:styleId="TableNormal8" w:customStyle="1">
    <w:name w:val="Table Normal8"/>
    <w:rsid w:val="00FE112B"/>
    <w:tblPr>
      <w:tblCellMar>
        <w:top w:w="0.0" w:type="dxa"/>
        <w:left w:w="0.0" w:type="dxa"/>
        <w:bottom w:w="0.0" w:type="dxa"/>
        <w:right w:w="0.0" w:type="dxa"/>
      </w:tblCellMar>
    </w:tblPr>
  </w:style>
  <w:style w:type="table" w:styleId="TableNormal17" w:customStyle="1">
    <w:name w:val="Table Normal17"/>
    <w:rsid w:val="00824BE8"/>
    <w:tblPr>
      <w:tblCellMar>
        <w:top w:w="0.0" w:type="dxa"/>
        <w:left w:w="0.0" w:type="dxa"/>
        <w:bottom w:w="0.0" w:type="dxa"/>
        <w:right w:w="0.0" w:type="dxa"/>
      </w:tblCellMar>
    </w:tblPr>
  </w:style>
  <w:style w:type="table" w:styleId="TableNormal16" w:customStyle="1">
    <w:name w:val="Table Normal16"/>
    <w:rsid w:val="00824BE8"/>
    <w:tblPr>
      <w:tblCellMar>
        <w:top w:w="0.0" w:type="dxa"/>
        <w:left w:w="0.0" w:type="dxa"/>
        <w:bottom w:w="0.0" w:type="dxa"/>
        <w:right w:w="0.0" w:type="dxa"/>
      </w:tblCellMar>
    </w:tblPr>
  </w:style>
  <w:style w:type="table" w:styleId="TableNormal15" w:customStyle="1">
    <w:name w:val="Table Normal15"/>
    <w:rsid w:val="00824BE8"/>
    <w:tblPr>
      <w:tblCellMar>
        <w:top w:w="0.0" w:type="dxa"/>
        <w:left w:w="0.0" w:type="dxa"/>
        <w:bottom w:w="0.0" w:type="dxa"/>
        <w:right w:w="0.0" w:type="dxa"/>
      </w:tblCellMar>
    </w:tblPr>
  </w:style>
  <w:style w:type="table" w:styleId="TableNormal14" w:customStyle="1">
    <w:name w:val="Table Normal14"/>
    <w:rsid w:val="00824BE8"/>
    <w:tblPr>
      <w:tblCellMar>
        <w:top w:w="0.0" w:type="dxa"/>
        <w:left w:w="0.0" w:type="dxa"/>
        <w:bottom w:w="0.0" w:type="dxa"/>
        <w:right w:w="0.0" w:type="dxa"/>
      </w:tblCellMar>
    </w:tblPr>
  </w:style>
  <w:style w:type="character" w:styleId="normaltextrun" w:customStyle="1">
    <w:name w:val="normaltextrun"/>
    <w:basedOn w:val="Fontepargpadro"/>
    <w:rsid w:val="00443402"/>
  </w:style>
  <w:style w:type="paragraph" w:styleId="paragraph" w:customStyle="1">
    <w:name w:val="paragraph"/>
    <w:basedOn w:val="Normal"/>
    <w:rsid w:val="00443402"/>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Fontepargpadro"/>
    <w:rsid w:val="00443402"/>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about:blank" TargetMode="External"/><Relationship Id="rId22" Type="http://schemas.openxmlformats.org/officeDocument/2006/relationships/header" Target="header2.xml"/><Relationship Id="rId10" Type="http://schemas.openxmlformats.org/officeDocument/2006/relationships/hyperlink" Target="about:blank" TargetMode="External"/><Relationship Id="rId21" Type="http://schemas.openxmlformats.org/officeDocument/2006/relationships/header" Target="header3.xml"/><Relationship Id="rId13" Type="http://schemas.openxmlformats.org/officeDocument/2006/relationships/hyperlink" Target="about:blank" TargetMode="External"/><Relationship Id="rId12" Type="http://schemas.openxmlformats.org/officeDocument/2006/relationships/hyperlink" Target="http://www.semparar.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hyperlink" Target="about:blank" TargetMode="External"/><Relationship Id="rId14" Type="http://schemas.openxmlformats.org/officeDocument/2006/relationships/hyperlink" Target="about:blank" TargetMode="External"/><Relationship Id="rId17" Type="http://schemas.openxmlformats.org/officeDocument/2006/relationships/image" Target="media/image4.png"/><Relationship Id="rId16" Type="http://schemas.openxmlformats.org/officeDocument/2006/relationships/hyperlink" Target="about:blank" TargetMode="External"/><Relationship Id="rId5" Type="http://schemas.openxmlformats.org/officeDocument/2006/relationships/styles" Target="styles.xml"/><Relationship Id="rId19" Type="http://schemas.openxmlformats.org/officeDocument/2006/relationships/hyperlink" Target="about:blank" TargetMode="External"/><Relationship Id="rId6" Type="http://schemas.openxmlformats.org/officeDocument/2006/relationships/customXml" Target="../customXML/item1.xml"/><Relationship Id="rId18" Type="http://schemas.openxmlformats.org/officeDocument/2006/relationships/hyperlink" Target="about:blank" TargetMode="Externa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UbXB9Y+ozFcNT0/mIz4KznVo5A==">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2023-01-09T18:56:00Z</dcterms:created>
  <dc:creator>Rafael Parente Borges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d,e,f</vt:lpwstr>
  </property>
  <property fmtid="{D5CDD505-2E9C-101B-9397-08002B2CF9AE}" pid="3" name="ClassificationContentMarkingHeaderFontProps">
    <vt:lpwstr>#008000,10,MS UI Gothic</vt:lpwstr>
  </property>
  <property fmtid="{D5CDD505-2E9C-101B-9397-08002B2CF9AE}" pid="4" name="ClassificationContentMarkingHeaderText">
    <vt:lpwstr>• PUBLIC 公開</vt:lpwstr>
  </property>
  <property fmtid="{D5CDD505-2E9C-101B-9397-08002B2CF9AE}" pid="5" name="MSIP_Label_023e975b-7b34-49da-9033-9c8f8f7bcde3_Enabled">
    <vt:lpwstr>true</vt:lpwstr>
  </property>
  <property fmtid="{D5CDD505-2E9C-101B-9397-08002B2CF9AE}" pid="6" name="MSIP_Label_023e975b-7b34-49da-9033-9c8f8f7bcde3_SetDate">
    <vt:lpwstr>2022-09-22T17:38:53Z</vt:lpwstr>
  </property>
  <property fmtid="{D5CDD505-2E9C-101B-9397-08002B2CF9AE}" pid="7" name="MSIP_Label_023e975b-7b34-49da-9033-9c8f8f7bcde3_Method">
    <vt:lpwstr>Privileged</vt:lpwstr>
  </property>
  <property fmtid="{D5CDD505-2E9C-101B-9397-08002B2CF9AE}" pid="8" name="MSIP_Label_023e975b-7b34-49da-9033-9c8f8f7bcde3_Name">
    <vt:lpwstr>Public 公開</vt:lpwstr>
  </property>
  <property fmtid="{D5CDD505-2E9C-101B-9397-08002B2CF9AE}" pid="9" name="MSIP_Label_023e975b-7b34-49da-9033-9c8f8f7bcde3_SiteId">
    <vt:lpwstr>3855fb14-c221-4399-b3f8-97d96a4ce45d</vt:lpwstr>
  </property>
  <property fmtid="{D5CDD505-2E9C-101B-9397-08002B2CF9AE}" pid="10" name="MSIP_Label_023e975b-7b34-49da-9033-9c8f8f7bcde3_ActionId">
    <vt:lpwstr>e0b813c9-0cd0-4628-b382-989a47cceeb8</vt:lpwstr>
  </property>
  <property fmtid="{D5CDD505-2E9C-101B-9397-08002B2CF9AE}" pid="11" name="MSIP_Label_023e975b-7b34-49da-9033-9c8f8f7bcde3_ContentBits">
    <vt:lpwstr>1</vt:lpwstr>
  </property>
  <property fmtid="{D5CDD505-2E9C-101B-9397-08002B2CF9AE}" pid="12" name="ContentTypeId">
    <vt:lpwstr>0x0101009B3E349B1D51EA458CF6BB56A4F3C168</vt:lpwstr>
  </property>
  <property fmtid="{D5CDD505-2E9C-101B-9397-08002B2CF9AE}" pid="13" name="MediaServiceImageTags">
    <vt:lpwstr/>
  </property>
</Properties>
</file>