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Toyota GAZOO Racing celebra segunda vitória consecutiva no Dakar</w:t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O catari Nasser Al-Attiyah e seu copiloto francês, Mathieu Baumel, defenderam com sucesso o título do Dakar conquistado pela Toyota GAZOO Racing (TGR) em 2022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Agora, a dupla trouxe o modelo GR DKR Hilux T1+ à linha de chegada da etapa final do Dakar 2023 no dia 15 de janeiro. A dupla perdeu 5 min e 41 seg para os vencedores da etapa, mas isso pouco importou, pois eles selaram a vitória geral com uma margem de vitória de 1h20m e 49 seg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etapa final do Dakar 2023 foi um teste que começou no acampamento em Al-Hofuf, na Arábia Saudita. Os competidores tiveram que completar </w:t>
      </w:r>
      <w:r w:rsidDel="00000000" w:rsidR="00000000" w:rsidRPr="00000000">
        <w:rPr>
          <w:rFonts w:ascii="Arial" w:cs="Arial" w:eastAsia="Arial" w:hAnsi="Arial"/>
          <w:rtl w:val="0"/>
        </w:rPr>
        <w:t xml:space="preserve">um trecho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167 km antes de entrar no Estágio 14, que foi seguido por uma ligação final de 100 km até o pódio final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cidade costeira de Dammam.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Para Nasser, esta foi a quinta vitória no Rally Dakar, enquanto Mathieu já soma quatro. A dupla venceu três vezes </w:t>
      </w:r>
      <w:r w:rsidDel="00000000" w:rsidR="00000000" w:rsidRPr="00000000">
        <w:rPr>
          <w:rFonts w:ascii="Arial" w:cs="Arial" w:eastAsia="Arial" w:hAnsi="Arial"/>
          <w:rtl w:val="0"/>
        </w:rPr>
        <w:t xml:space="preserve">pela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Toyota, com as últimas vitórias em uma exibição consecutiva de qualidade, durabilidade e confiabilidade. A dupla assumiu a liderança do evento na Etapa 3, e </w:t>
      </w:r>
      <w:r w:rsidDel="00000000" w:rsidR="00000000" w:rsidRPr="00000000">
        <w:rPr>
          <w:rFonts w:ascii="Arial" w:cs="Arial" w:eastAsia="Arial" w:hAnsi="Arial"/>
          <w:rtl w:val="0"/>
        </w:rPr>
        <w:t xml:space="preserve">não abriu mais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mão dessa posição.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Giniel de Villiers, que completou o seu vigésimo Rali Dakar consecutivo ao cruzar a </w:t>
      </w:r>
      <w:r w:rsidDel="00000000" w:rsidR="00000000" w:rsidRPr="00000000">
        <w:rPr>
          <w:rFonts w:ascii="Arial" w:cs="Arial" w:eastAsia="Arial" w:hAnsi="Arial"/>
          <w:rtl w:val="0"/>
        </w:rPr>
        <w:t xml:space="preserve">linha em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Dammam, terminou o rali no 4º lugar da classificação geral. 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seu desempenho ressalta a dureza e tenacidade de um </w:t>
      </w:r>
      <w:r w:rsidDel="00000000" w:rsidR="00000000" w:rsidRPr="00000000">
        <w:rPr>
          <w:rFonts w:ascii="Arial" w:cs="Arial" w:eastAsia="Arial" w:hAnsi="Arial"/>
          <w:rtl w:val="0"/>
        </w:rPr>
        <w:t xml:space="preserve">dos verdadeiros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pilotos veteranos d</w:t>
      </w:r>
      <w:r w:rsidDel="00000000" w:rsidR="00000000" w:rsidRPr="00000000">
        <w:rPr>
          <w:rFonts w:ascii="Arial" w:cs="Arial" w:eastAsia="Arial" w:hAnsi="Arial"/>
          <w:rtl w:val="0"/>
        </w:rPr>
        <w:t xml:space="preserve">a competição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Junto com o copiloto Dennis Murphy, Giniel terminou a 45ª edição deste ano do rali com </w:t>
      </w:r>
      <w:r w:rsidDel="00000000" w:rsidR="00000000" w:rsidRPr="00000000">
        <w:rPr>
          <w:rFonts w:ascii="Arial" w:cs="Arial" w:eastAsia="Arial" w:hAnsi="Arial"/>
          <w:rtl w:val="0"/>
        </w:rPr>
        <w:t xml:space="preserve">2h30m e 12s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atraso.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Dakar 2023 será lembrado por muito tempo por Henk Lategan e pelo copiloto Brett Cummings como uma corrida que poderia ter sido muito diferente para eles. </w:t>
      </w:r>
      <w:r w:rsidDel="00000000" w:rsidR="00000000" w:rsidRPr="00000000">
        <w:rPr>
          <w:rFonts w:ascii="Arial" w:cs="Arial" w:eastAsia="Arial" w:hAnsi="Arial"/>
          <w:rtl w:val="0"/>
        </w:rPr>
        <w:t xml:space="preserve">A dupla chegou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ao 2º lugar na classificação geral, antes </w:t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dois contratempos os </w:t>
      </w:r>
      <w:r w:rsidDel="00000000" w:rsidR="00000000" w:rsidRPr="00000000">
        <w:rPr>
          <w:rFonts w:ascii="Arial" w:cs="Arial" w:eastAsia="Arial" w:hAnsi="Arial"/>
          <w:rtl w:val="0"/>
        </w:rPr>
        <w:t xml:space="preserve">empurrarem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para baixo. </w:t>
      </w:r>
      <w:r w:rsidDel="00000000" w:rsidR="00000000" w:rsidRPr="00000000">
        <w:rPr>
          <w:rFonts w:ascii="Arial" w:cs="Arial" w:eastAsia="Arial" w:hAnsi="Arial"/>
          <w:rtl w:val="0"/>
        </w:rPr>
        <w:t xml:space="preserve">Eles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mostraram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grande ritmo ao longo do rali e </w:t>
      </w:r>
      <w:r w:rsidDel="00000000" w:rsidR="00000000" w:rsidRPr="00000000">
        <w:rPr>
          <w:rFonts w:ascii="Arial" w:cs="Arial" w:eastAsia="Arial" w:hAnsi="Arial"/>
          <w:rtl w:val="0"/>
        </w:rPr>
        <w:t xml:space="preserve">esperam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um reflexo mais fiel de sua velocidade nas próximas edições. Mesmo assim, terminaram na 5ª colocação geral, menos de 5min atrás de seus companheiros em quarto lugar.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Toyota dominou os resultados do Dakar 2023, com as equipes de trabalho TGR em 1º, 4º e 5º lugares.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Toyota ainda contou com o jovem piloto brasileiro, Lucas Moraes, dirigindo 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 Toyota Hilux T1+. Esta foi a primeira tentativa de Lucas no Rally Dakar, que teve o experiente copiloto Timo Gottschalk ao seu lado no carro.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“Três GR DKR Hilux T1+ da Toyota GAZOO Racing, dois da Team Land Cruiser Toyota Auto Body e o HINO 600 da Hino Team Sugawara completaram os 16 dias do Rally Dakar.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Parabéns às 6 equipes pelos difíceis 8500 km de estrada. Obrigado a todos os fãs pelo apoio. Parabéns a Nasser Al-Attiyah e Mathieu Baumel pela conquista do título geral pelo segundo ano consecutivo. Isso após a vitória no primeiro Campeonato Mundial de Rally-Raid no final de 2022, o que foi uma conquista incrível.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Nas longas estradas do Dakar é muito difícil vencer se você não tiver um carro que não seja apenas fácil de dirigir, mas também confiável e durável”, comenta Akio Toyoda, Presidente e CEO da Toyota Motor Corporation.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ampeonato Mundial de Rally-Raid de 2023, do qual o Rally Dakar foi a rodada de abertura, Nasser e Mathieu somaram um total de 85 pontos. Isso significa que eles estão atrás dos líderes por apenas dois pontos, após a primeira rodada, do total d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cinco. A Toyota está em 2º lugar no campeonato, apenas um ponto atrás dos líderes. A próxima prova é o Abu Dhabi Desert Challenge, que acontece na última semana de fevereiro.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190500</wp:posOffset>
            </wp:positionV>
            <wp:extent cx="1563053" cy="922201"/>
            <wp:effectExtent b="0" l="0" r="0" t="0"/>
            <wp:wrapSquare wrapText="bothSides" distB="114300" distT="114300" distL="114300" distR="114300"/>
            <wp:docPr id="1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3053" cy="9222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35">
      <w:pPr>
        <w:spacing w:after="0" w:line="240" w:lineRule="auto"/>
        <w:ind w:hanging="2"/>
        <w:jc w:val="both"/>
        <w:rPr>
          <w:rFonts w:ascii="Arial" w:cs="Arial" w:eastAsia="Arial" w:hAnsi="Arial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8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9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3A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3B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11 5501-4655</w:t>
      </w:r>
    </w:p>
    <w:p w:rsidR="00000000" w:rsidDel="00000000" w:rsidP="00000000" w:rsidRDefault="00000000" w:rsidRPr="00000000" w14:paraId="0000003C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www.rpmacomunicacao.com.br 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2273300</wp:posOffset>
              </wp:positionH>
              <wp:positionV relativeFrom="paragraph">
                <wp:posOffset>-126999</wp:posOffset>
              </wp:positionV>
              <wp:extent cx="567156" cy="344484"/>
              <wp:effectExtent b="0" l="0" r="0" t="0"/>
              <wp:wrapSquare wrapText="bothSides" distB="0" distT="0" distL="0" distR="0"/>
              <wp:docPr descr="• PUBLIC 公開" id="1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2273300</wp:posOffset>
              </wp:positionH>
              <wp:positionV relativeFrom="paragraph">
                <wp:posOffset>-126999</wp:posOffset>
              </wp:positionV>
              <wp:extent cx="567156" cy="344484"/>
              <wp:effectExtent b="0" l="0" r="0" t="0"/>
              <wp:wrapSquare wrapText="bothSides" distB="0" distT="0" distL="0" distR="0"/>
              <wp:docPr descr="• PUBLIC 公開" id="124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156" cy="3444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-200006</wp:posOffset>
          </wp:positionV>
          <wp:extent cx="757237" cy="555307"/>
          <wp:effectExtent b="0" l="0" r="0" t="0"/>
          <wp:wrapSquare wrapText="bothSides" distB="114300" distT="114300" distL="114300" distR="114300"/>
          <wp:docPr id="1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-70455</wp:posOffset>
          </wp:positionH>
          <wp:positionV relativeFrom="paragraph">
            <wp:posOffset>-116169</wp:posOffset>
          </wp:positionV>
          <wp:extent cx="1468755" cy="467995"/>
          <wp:effectExtent b="0" l="0" r="0" t="0"/>
          <wp:wrapNone/>
          <wp:docPr id="1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b="0" l="0" r="0" t="0"/>
              <wp:wrapSquare wrapText="bothSides" distB="0" distT="0" distL="0" distR="0"/>
              <wp:docPr descr="• PUBLIC 公開" id="12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b="0" l="0" r="0" t="0"/>
              <wp:wrapSquare wrapText="bothSides" distB="0" distT="0" distL="0" distR="0"/>
              <wp:docPr descr="• PUBLIC 公開" id="125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" cy="577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b="0" l="0" r="0" t="0"/>
              <wp:wrapSquare wrapText="bothSides" distB="0" distT="0" distL="0" distR="0"/>
              <wp:docPr descr="• PUBLIC 公開" id="12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b="0" l="0" r="0" t="0"/>
              <wp:wrapSquare wrapText="bothSides" distB="0" distT="0" distL="0" distR="0"/>
              <wp:docPr descr="• PUBLIC 公開" id="126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" cy="577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santos@toyota.com.b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buarque@toyota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dlmQc3kMOrwskPgFVjph2+ICFw==">AMUW2mW0hdmEoNjkU4D1fUpwTFM5/EbeGGrEewGPacFeOZOiXkmIy5kJ7H6TzFAmifzFeNoKJsWDCubIjF5/oHpjo2VRiH1VEZmbe7JBujsUmuOXnprnwRw+Kpft8r43snHdhKWBXODT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2022-11-18T19:33:00Z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