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e Automob iniciam jornada de transformação na rede de concessionárias da fabricante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Integração é parte de uma estratégia de aprimoramento da jornada de compra e experiência visando fidelização do consumidor por toda a vida</w:t>
      </w:r>
    </w:p>
    <w:p w:rsidR="00000000" w:rsidDel="00000000" w:rsidP="00000000" w:rsidRDefault="00000000" w:rsidRPr="00000000" w14:paraId="00000005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Atualmente, a marca conta com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287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concessionárias em todo o Brasil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114300" distT="114300" distL="114300" distR="114300">
            <wp:extent cx="3148013" cy="2180600"/>
            <wp:effectExtent b="0" l="0" r="0" t="0"/>
            <wp:docPr id="5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218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(Da esq para a dir) Ademir Canal – Diretor da planta da Toyota em Sorocaba - José Ricardo Gomes – Diretor Comercial da Toyota do Brasil - Viviane Mansi – Diretora de Comunicação e Sustentabilidade da Toyota para América Latina e Caribe - Fernando Simões – CEO do Grupo SIMPAR - André Barreto –  Diretor Executivo da Simpar -Roger Armellini – Diretor de Mobilidade, Transformação Digital e Value Chain da Toyota para América Latina e Caribe - Evandro Maggio - Diretor de Compras, Pesquisa e Desenvolvimento da Toyota para a América Latina e Caribe</w:t>
      </w:r>
    </w:p>
    <w:p w:rsidR="00000000" w:rsidDel="00000000" w:rsidP="00000000" w:rsidRDefault="00000000" w:rsidRPr="00000000" w14:paraId="0000000A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vem se posicionando ao longo dos últimos anos como uma empresa provedora de soluções em mobilidade, com ações que proporcionem uma jornada do cliente mais integrada, inovadora e que seja capaz de fidelizar seu cliente por toda sua vida.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Dentro do seu planejamento estratégico, a montadora se une à Automob por meio da sua subsidiária UAB Motors, que agora passa a integrar sua Rede de Distribuidores no Brasil. A chegada deste novo parceiro colabora para o avanço no modelo de negócio, que no médio e longo prazo proporcionarão serviços mais digitalizados e com foco total no cliente.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Atualmente com 287 concessionárias em todo o Brasil, a rede Toyota é reconhecida nacionalmente por sua qualidade, confiabilidade e atendimento personalizado. O Grupo Simpar inicia sua trajetória com a fabricante por meio da concessionária T-Drive, com presença nas cidades de São Paulo, Barueri, Taubaté e São José dos Campos, todas no Estado de São Paulo.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“Temos um amplo leque de serviços e soluções de mobilidade para os mais diferentes perfis de consumidores. Entender as jornadas de nossos clientes em uma comunicação transparente é muito importante, por isso, temos uma força de vendas altamente capacitada. A vinda do Grupo Simpar, que passa a controlar a T-Drive, busca reforçar nossa cultura e valores, disseminar o DNA Toyota no país, além de iniciar um novo capítulo na nossa história</w:t>
      </w:r>
      <w:r w:rsidDel="00000000" w:rsidR="00000000" w:rsidRPr="00000000">
        <w:rPr>
          <w:sz w:val="24"/>
          <w:szCs w:val="24"/>
          <w:rtl w:val="0"/>
        </w:rPr>
        <w:t xml:space="preserve">”, afirma José Ricardo Gomes, Diretor Comercial da Toyota do Brasil.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Novo Grupo, novas instalações, nova mentalidade. Acreditamos que este seja apenas o começo de uma longa e próspera relação</w:t>
      </w:r>
      <w:r w:rsidDel="00000000" w:rsidR="00000000" w:rsidRPr="00000000">
        <w:rPr>
          <w:sz w:val="24"/>
          <w:szCs w:val="24"/>
          <w:rtl w:val="0"/>
        </w:rPr>
        <w:t xml:space="preserve">”, completa ele.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UAB Motors</w:t>
      </w:r>
      <w:r w:rsidDel="00000000" w:rsidR="00000000" w:rsidRPr="00000000">
        <w:rPr>
          <w:sz w:val="24"/>
          <w:szCs w:val="24"/>
          <w:rtl w:val="0"/>
        </w:rPr>
        <w:t xml:space="preserve">, faz parte da holding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Automob</w:t>
      </w:r>
      <w:r w:rsidDel="00000000" w:rsidR="00000000" w:rsidRPr="00000000">
        <w:rPr>
          <w:sz w:val="24"/>
          <w:szCs w:val="24"/>
          <w:rtl w:val="0"/>
        </w:rPr>
        <w:t xml:space="preserve"> que representa hoje as principais marcas automotivas do mundo, são 25 marcas com mais de 73 lojas, localizadas nas regiões sul, sudeste e nordeste do país - áreas que representam 44% do PIB nacional. Após as últimas aquisições, a Companhia - um dos maiores grupos no varejo de veículos leves do país - alcançou receita de R$ 5,2 bilhões anualizadas.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“Essa aliança com uma das principais fabricantes do mundo, consolida a estratégia da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Automob</w:t>
      </w:r>
      <w:r w:rsidDel="00000000" w:rsidR="00000000" w:rsidRPr="00000000">
        <w:rPr>
          <w:i w:val="1"/>
          <w:sz w:val="24"/>
          <w:szCs w:val="24"/>
          <w:rtl w:val="0"/>
        </w:rPr>
        <w:t xml:space="preserve"> como referência na comercialização e prestação de serviços de automóveis no Brasil. Com amplo portfólio de produtos, peças, oficinas e serviços voltados à mobilidade dos consumidores, aliado ao DNA do grupo Simpar que preza pela qualidade no atendimento e fidelização de nossos clientes</w:t>
      </w:r>
      <w:r w:rsidDel="00000000" w:rsidR="00000000" w:rsidRPr="00000000">
        <w:rPr>
          <w:sz w:val="24"/>
          <w:szCs w:val="24"/>
          <w:rtl w:val="0"/>
        </w:rPr>
        <w:t xml:space="preserve">”, afirma Antônio Barreto, Diretor Executivo da Simpar.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integração à rede Toyota, o Grupo dá início à estratégia da marca em promover cada vez mais soluções de mobilidade sustentável, com integração de canais e modernização digital da jornada de experiência dos clientes nas concessionárias.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991287" cy="991287"/>
            <wp:effectExtent b="0" l="0" r="0" t="0"/>
            <wp:docPr id="4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287" cy="991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995363" cy="985206"/>
            <wp:effectExtent b="0" l="0" r="0" t="0"/>
            <wp:docPr id="5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85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 KINTO</w:t>
        </w:r>
      </w:hyperlink>
      <w:r w:rsidDel="00000000" w:rsidR="00000000" w:rsidRPr="00000000">
        <w:rPr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 www.toyota-global.com</w:t>
        </w:r>
      </w:hyperlink>
      <w:r w:rsidDel="00000000" w:rsidR="00000000" w:rsidRPr="00000000">
        <w:rPr>
          <w:rtl w:val="0"/>
        </w:rPr>
        <w:t xml:space="preserve"> e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Sobre a Automob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Automob</w:t>
      </w:r>
      <w:r w:rsidDel="00000000" w:rsidR="00000000" w:rsidRPr="00000000">
        <w:rPr>
          <w:color w:val="222222"/>
          <w:highlight w:val="white"/>
          <w:rtl w:val="0"/>
        </w:rPr>
        <w:t xml:space="preserve"> é uma empresa do Grupo Simpar responsável pela gestão das redes do segmento de concessionárias de veículos novos e lojas de seminovos. A Companhia conta com um portfólio de 73 lojas localizadas nas regiões sul, sudeste e nordeste do país - áreas que representam 44% do PIB nacional — com 25 marcas de automóveis e motocicletas. Após suas últimas aquisições, a Automob alcançou R$5,2 bilhões de receita consolidada em 2021 e se posiciona como uma das maiores empresas no varejo de veículos leves do país.</w:t>
      </w:r>
      <w:r w:rsidDel="00000000" w:rsidR="00000000" w:rsidRPr="00000000">
        <w:rPr>
          <w:color w:val="222222"/>
          <w:rtl w:val="0"/>
        </w:rPr>
        <w:t xml:space="preserve"> A organização administra as </w:t>
      </w:r>
      <w:r w:rsidDel="00000000" w:rsidR="00000000" w:rsidRPr="00000000">
        <w:rPr>
          <w:color w:val="222222"/>
          <w:highlight w:val="white"/>
          <w:rtl w:val="0"/>
        </w:rPr>
        <w:t xml:space="preserve">marcas Original Autos, que opera nos estados de São Paulo e Maranhão;</w:t>
      </w:r>
      <w:r w:rsidDel="00000000" w:rsidR="00000000" w:rsidRPr="00000000">
        <w:rPr>
          <w:color w:val="222222"/>
          <w:rtl w:val="0"/>
        </w:rPr>
        <w:t xml:space="preserve"> a Autostar, reconhecida pela operação no segmento de veículos de luxo na capital paulista; a UAB Motors, com rede de lojas na região Sudeste e Sul, e a Green, na cidade de São Paulo.</w:t>
      </w:r>
    </w:p>
    <w:p w:rsidR="00000000" w:rsidDel="00000000" w:rsidP="00000000" w:rsidRDefault="00000000" w:rsidRPr="00000000" w14:paraId="00000025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8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Rafael Borges – coordenador de Comunicação e Imprensa – (11) 98684-8619 – </w:t>
      </w:r>
      <w:r w:rsidDel="00000000" w:rsidR="00000000" w:rsidRPr="00000000">
        <w:rPr>
          <w:color w:val="0000ff"/>
          <w:rtl w:val="0"/>
        </w:rPr>
        <w:t xml:space="preserve">raborges@toyota.com.br</w:t>
      </w:r>
    </w:p>
    <w:p w:rsidR="00000000" w:rsidDel="00000000" w:rsidP="00000000" w:rsidRDefault="00000000" w:rsidRPr="00000000" w14:paraId="00000029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Kelly Buarque – </w:t>
      </w:r>
      <w:r w:rsidDel="00000000" w:rsidR="00000000" w:rsidRPr="00000000">
        <w:rPr>
          <w:color w:val="0000ff"/>
          <w:rtl w:val="0"/>
        </w:rPr>
        <w:t xml:space="preserve">kbuarque@toyota.com.br</w:t>
      </w:r>
    </w:p>
    <w:p w:rsidR="00000000" w:rsidDel="00000000" w:rsidP="00000000" w:rsidRDefault="00000000" w:rsidRPr="00000000" w14:paraId="0000002A">
      <w:pPr>
        <w:jc w:val="both"/>
        <w:rPr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Kessia Santos –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RPMA Comunicação</w:t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b w:val="1"/>
        </w:rPr>
      </w:pPr>
      <w:r w:rsidDel="00000000" w:rsidR="00000000" w:rsidRPr="00000000">
        <w:rPr>
          <w:color w:val="0000ff"/>
          <w:rtl w:val="0"/>
        </w:rPr>
        <w:t xml:space="preserve">toyota@rpmacomunicacao.com.br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Leonardo Araujo – (11) 96084-0473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Tel.: 11 5501-4655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color w:val="0000ff"/>
          <w:u w:val="single"/>
        </w:rPr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Grupo Simpar - Agência Fato Relevante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E-mail: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imprensa.simpar@agenciafr.com.br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Angelita Gonçalves: (11) 99196-1129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Rosana Duda: (11) 99932-6212</w:t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Mariana Cardim: (11) 94055-4288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0" distT="0" distL="0" distR="0">
          <wp:extent cx="1962332" cy="454790"/>
          <wp:effectExtent b="0" l="0" r="0" t="0"/>
          <wp:docPr descr="Texto, Logotipo&#10;&#10;Descrição gerada automaticamente" id="51" name="image1.png"/>
          <a:graphic>
            <a:graphicData uri="http://schemas.openxmlformats.org/drawingml/2006/picture">
              <pic:pic>
                <pic:nvPicPr>
                  <pic:cNvPr descr="Texto, Logotipo&#10;&#10;Descrição gerada automaticamente" id="0" name="image1.png"/>
                  <pic:cNvPicPr preferRelativeResize="0"/>
                </pic:nvPicPr>
                <pic:blipFill>
                  <a:blip r:embed="rId1"/>
                  <a:srcRect b="32226" l="11130" r="11452" t="31894"/>
                  <a:stretch>
                    <a:fillRect/>
                  </a:stretch>
                </pic:blipFill>
                <pic:spPr>
                  <a:xfrm>
                    <a:off x="0" y="0"/>
                    <a:ext cx="1962332" cy="454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8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-165365</wp:posOffset>
          </wp:positionV>
          <wp:extent cx="938213" cy="661840"/>
          <wp:effectExtent b="0" l="0" r="0" t="0"/>
          <wp:wrapSquare wrapText="bothSides" distB="114300" distT="114300" distL="114300" distR="114300"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7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46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96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6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65C8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5260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 w:val="1"/>
    <w:uiPriority w:val="99"/>
    <w:semiHidden w:val="1"/>
    <w:rsid w:val="0005260E"/>
    <w:pPr>
      <w:spacing w:line="240" w:lineRule="auto"/>
    </w:pPr>
  </w:style>
  <w:style w:type="character" w:styleId="cf01" w:customStyle="1">
    <w:name w:val="cf01"/>
    <w:basedOn w:val="Fontepargpadro"/>
    <w:rsid w:val="008468A3"/>
    <w:rPr>
      <w:rFonts w:ascii="Segoe UI" w:cs="Segoe UI" w:hAnsi="Segoe UI" w:hint="default"/>
      <w:sz w:val="18"/>
      <w:szCs w:val="18"/>
    </w:rPr>
  </w:style>
  <w:style w:type="paragraph" w:styleId="Rodap">
    <w:name w:val="footer"/>
    <w:basedOn w:val="Normal"/>
    <w:link w:val="RodapChar"/>
    <w:uiPriority w:val="99"/>
    <w:unhideWhenUsed w:val="1"/>
    <w:rsid w:val="000A4DE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4DE9"/>
  </w:style>
  <w:style w:type="character" w:styleId="Hyperlink">
    <w:name w:val="Hyperlink"/>
    <w:basedOn w:val="Fontepargpadro"/>
    <w:uiPriority w:val="99"/>
    <w:unhideWhenUsed w:val="1"/>
    <w:rsid w:val="000A4D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A4DE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/" TargetMode="External"/><Relationship Id="rId10" Type="http://schemas.openxmlformats.org/officeDocument/2006/relationships/hyperlink" Target="https://kintomobility.com.br/" TargetMode="External"/><Relationship Id="rId13" Type="http://schemas.openxmlformats.org/officeDocument/2006/relationships/hyperlink" Target="https://www.toyota.com.br/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http://www.rpmacomunicacao.com.br/" TargetMode="Externa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1.xml"/><Relationship Id="rId16" Type="http://schemas.openxmlformats.org/officeDocument/2006/relationships/hyperlink" Target="mailto:imprensa.simpar@agenciafr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8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4RhsjZZz3ml3QcizWvsNv9p0/g==">AMUW2mVOAZvpGHZ1CPxZpq0iC/Sg0Fgghy37p0XOZwdmWZQ+DEzIuv3HDJV5/kcH/lfnoQr/TrHsB634vK0CLxQRir4HHvEijnyFEl1nZCknftHS6VMipb04qqjpLOsTzWJSAF2OgQ9L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2022-10-04T20:20:00Z</dcterms:created>
  <dc:creator>Rafael Parente Borges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