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patrocina circuito Música para Todos que levará diversidade e muito som para as cidades onde a empresa tem operações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iniciativa tem como objetivo ampliar o acesso à cultura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i w:val="1"/>
          <w:rtl w:val="0"/>
        </w:rPr>
        <w:t xml:space="preserve">ndaiatuba é a primeira cidade a receber o evento gratuito; outras etapas já têm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todo, são esperadas mais de 10 mil pessoas em todo o circuito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Promover o acesso gratuito à música, diversão e diversidade. Essa é a proposta da Toyota do Brasil através do patrocínio ao circuito “Música para Todos”, que será realizado nas cidades onde a empresa conta com unidades fabris e de distribuição. O projeto patrocinado via Lei Rouanet de incentivo à cultura terá a sua edição de estreia na cidade de Indaiatuba (SP) no dia 25 de setembro.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O circuito “Música para Todos” tem como objetivo disseminar a música instrumental para o público em geral, promovendo acessibilidade e pluralidade já que os eventos são gratuitos e de fácil acesso. O tema central traz ao público, através da música, a riqueza cultural e de diversidade em gênero e raça do Brasil.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O evento em Indaiatuba será realizado no Parque Ecológico da cidade, no dia 25 de setembro, das 14h às 19h, e oferecerá apresentações abertas ao público, levando muita música e alegria para a população. Os espetáculos combinarão diversos estilos musicais, como: Rock, Funk, Jazz, Reggae, Hip Hop, Folk, Disco, Soul, Blues e mais. Ainda na programação: os gêmeos do 2DE1 apresentam mensagens de esperança e fé na transformação; a AFROJAM, um projeto musical que celebra a música de artistas pretos independentes; e a Jazzmin’s, pioneira por ser um grupo exclusivamente feminino, reúne 17 instrumentistas de várias tendências musicais e de diferentes gerações.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Além de Indaiatuba, outras cidades com a presença da Toyota no estado de São Paulo já têm etapa confirmada do “Música para Todos”: Porto Feliz (09/10) e Sorocaba (13/11) são as cidades que já confirmaram o evento. Outras duas etapas, de São Bernardo do Campo (SP) e de Guaíba (RS), também receberão o circuito ainda em 2022.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O “Música para Todos” também levará cultura e história das cenas musicais para as cidades com presença da Toyota. Nesta primeira etapa, o evento deve receber 2 mil pessoas; ao todo, são esperadas mais de 10 mil em todo o circuito.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apoio da Toyota a projetos de educação está ligado à agenda ESG (sigla em inglês para Ambiental, Social e Governança) da companhia, reforçando seu compromisso com a sociedade, contribuindo diretamente com os Objetivos de Desenvolvimento Sustentável da ONU; fortalecendo as comunidades em que está inserida.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Confira a programação completa: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www.circuitomusicaparatodos.com.br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divulgação deste material colabora diretamente para os seguintes Objetivos de Sustentabilidade da Organização das Nações Unidas:</w:t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i w:val="1"/>
        </w:rPr>
      </w:pPr>
      <w:r w:rsidDel="00000000" w:rsidR="00000000" w:rsidRPr="00000000">
        <w:rPr/>
        <w:drawing>
          <wp:inline distB="0" distT="0" distL="0" distR="0">
            <wp:extent cx="951218" cy="947302"/>
            <wp:effectExtent b="0" l="0" r="0" t="0"/>
            <wp:docPr descr="Ícone&#10;&#10;Descrição gerada automaticamente" id="21" name="image1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18" cy="947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937250" cy="941122"/>
            <wp:effectExtent b="0" l="0" r="0" t="0"/>
            <wp:docPr descr="Ícone&#10;&#10;Descrição gerada automaticamente" id="23" name="image2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250" cy="941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KINTO</w:t>
        </w:r>
      </w:hyperlink>
      <w:r w:rsidDel="00000000" w:rsidR="00000000" w:rsidRPr="00000000">
        <w:rPr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rtl w:val="0"/>
        </w:rPr>
        <w:t xml:space="preserve"> 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left="-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3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Rafael Borges – coordenador de Comunicação Externa e Interna – (11) 98684-8619 – </w:t>
      </w:r>
      <w:r w:rsidDel="00000000" w:rsidR="00000000" w:rsidRPr="00000000">
        <w:rPr>
          <w:color w:val="0000ff"/>
          <w:u w:val="single"/>
          <w:rtl w:val="0"/>
        </w:rPr>
        <w:t xml:space="preserve">raborges@toyota.com.br</w:t>
      </w:r>
    </w:p>
    <w:p w:rsidR="00000000" w:rsidDel="00000000" w:rsidP="00000000" w:rsidRDefault="00000000" w:rsidRPr="00000000" w14:paraId="00000024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Kelly Buarque – </w:t>
      </w:r>
      <w:r w:rsidDel="00000000" w:rsidR="00000000" w:rsidRPr="00000000">
        <w:rPr>
          <w:color w:val="0000ff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25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Kessia Santos – </w:t>
      </w:r>
      <w:r w:rsidDel="00000000" w:rsidR="00000000" w:rsidRPr="00000000">
        <w:rPr>
          <w:color w:val="0000ff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26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Leandro Volcov – </w:t>
      </w:r>
      <w:r w:rsidDel="00000000" w:rsidR="00000000" w:rsidRPr="00000000">
        <w:rPr>
          <w:color w:val="0000ff"/>
          <w:u w:val="single"/>
          <w:rtl w:val="0"/>
        </w:rPr>
        <w:t xml:space="preserve">lvolcov@toyota.com.br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29">
      <w:pPr>
        <w:jc w:val="both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2A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B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Leonardo Araujo – (11) 96084-0473</w:t>
      </w:r>
    </w:p>
    <w:p w:rsidR="00000000" w:rsidDel="00000000" w:rsidP="00000000" w:rsidRDefault="00000000" w:rsidRPr="00000000" w14:paraId="0000002C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2D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E">
      <w:pPr>
        <w:jc w:val="both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Tel.: 11 5501-4655</w:t>
      </w:r>
    </w:p>
    <w:p w:rsidR="00000000" w:rsidDel="00000000" w:rsidP="00000000" w:rsidRDefault="00000000" w:rsidRPr="00000000" w14:paraId="0000002F">
      <w:pPr>
        <w:jc w:val="both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b w:val="1"/>
      </w:rPr>
      <w:drawing>
        <wp:inline distB="114300" distT="114300" distL="114300" distR="114300">
          <wp:extent cx="1928813" cy="618827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8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-165369</wp:posOffset>
          </wp:positionV>
          <wp:extent cx="938213" cy="661840"/>
          <wp:effectExtent b="0" l="0" r="0" t="0"/>
          <wp:wrapSquare wrapText="bothSides" distB="114300" distT="114300" distL="114300" distR="114300"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0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9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96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6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65C8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5260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 w:val="1"/>
    <w:uiPriority w:val="99"/>
    <w:semiHidden w:val="1"/>
    <w:rsid w:val="0005260E"/>
    <w:pPr>
      <w:spacing w:line="240" w:lineRule="auto"/>
    </w:pPr>
  </w:style>
  <w:style w:type="paragraph" w:styleId="PargrafodaLista">
    <w:name w:val="List Paragraph"/>
    <w:basedOn w:val="Normal"/>
    <w:uiPriority w:val="34"/>
    <w:qFormat w:val="1"/>
    <w:rsid w:val="00291C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intomobility.com.br/" TargetMode="External"/><Relationship Id="rId10" Type="http://schemas.openxmlformats.org/officeDocument/2006/relationships/hyperlink" Target="https://kintomobility.com.br/" TargetMode="External"/><Relationship Id="rId13" Type="http://schemas.openxmlformats.org/officeDocument/2006/relationships/hyperlink" Target="https://www.toyota-global.com/" TargetMode="External"/><Relationship Id="rId12" Type="http://schemas.openxmlformats.org/officeDocument/2006/relationships/hyperlink" Target="https://www.toyota-global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rpmacomunicacao.com.br/" TargetMode="External"/><Relationship Id="rId14" Type="http://schemas.openxmlformats.org/officeDocument/2006/relationships/hyperlink" Target="https://www.toyota.com.br/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://www.circuitomusicaparatodos.com.br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aPT8OQZRNNgSdLcs0oPF8IEVg==">AMUW2mV1IKUMSObnl48Zh+ng0gIJReoJeddj1yhCd27+Rj8tcSlXbHTY1WX8gkUNjyGupmd06cBHnaJ/r9bzGQQ3t3SKc6P7Ksc1WDqubX4KeP/zdfqKT2o3cBOmIH6jT6Ap0djd7bFG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2022-09-20T20:23:00Z</dcterms:created>
  <dc:creator>Rafael Parente Borges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