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Nono episódio do Toyotacast aborda 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o processo de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8"/>
          <w:szCs w:val="28"/>
          <w:rtl w:val="0"/>
        </w:rPr>
        <w:t xml:space="preserve"> transformação organizacional nas companhias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color w:val="222222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Episódio </w:t>
      </w:r>
      <w:r w:rsidDel="00000000" w:rsidR="00000000" w:rsidRPr="00000000">
        <w:rPr>
          <w:i w:val="1"/>
          <w:sz w:val="24"/>
          <w:szCs w:val="24"/>
          <w:rtl w:val="0"/>
        </w:rPr>
        <w:t xml:space="preserve">aborda como as transformações sociais influenciam na cultura das empresas 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720" w:hanging="360"/>
        <w:jc w:val="both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Capítulo conta com Juliana Fochi, Gerente Geral de Recursos Humanos da Toyota e como convidada especial, Monica Souza, Diretora da Change.Org no Brasil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             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um mundo em constante movimento, novas ideias, novos negócios e novas perspectivas buscam estar cada vez mais conectadas com os nossos valores e crenças das pessoas. Mas como essas transformações na sociedade influenciam a forma como as organizações operam? </w:t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nono episódio do Toyotacast, podcast da Toyota do Brasil, que vai ao ar hoje, dia 23, aborda o processo de Transformação Organizacional nas companhias e os seus impactos na cultura das empresas; e como isso está diretamente relacionado ao propósito das organizações.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essa discussão, as convidadas especiais são Monica Souza, Diretora da Change.Org no Brasil. Ela tem trajetória marcada por programas de desenvolvimento e garantia de direitos de crianças e jovens e pelo lado da Toyota, Juliana Fochi, Gerente Geral de Recursos Humanos,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que possui mais de 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18 anos</w:t>
      </w:r>
      <w:r w:rsidDel="00000000" w:rsidR="00000000" w:rsidRPr="00000000">
        <w:rPr>
          <w:rFonts w:ascii="Arial" w:cs="Arial" w:eastAsia="Arial" w:hAnsi="Arial"/>
          <w:color w:val="222222"/>
          <w:rtl w:val="0"/>
        </w:rPr>
        <w:t xml:space="preserve"> de experiência</w:t>
      </w:r>
      <w:r w:rsidDel="00000000" w:rsidR="00000000" w:rsidRPr="00000000">
        <w:rPr>
          <w:sz w:val="24"/>
          <w:szCs w:val="24"/>
          <w:rtl w:val="0"/>
        </w:rPr>
        <w:t xml:space="preserve"> na área de atuação e desempenhou papel fundamental em empresas onde liderou projetos de Transformação Cultural. 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Ainda é tema deste episódio, o movimento da montadora japonesa de enxergar a pandemia como uma oportunidade de repensar a cultura da empresa, e um novo jeito de trabalhar que passou pelo modelo remoto e atualmente opera em formato híbrido. E o processo de transformação em uma empresa que oferece soluções em mobilidade. </w:t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Toyotacast pode ser acessado pelo Spotify, Deezer, Google Podcasts e YouTube Music. Ao todo, são 12 episódios, que abordam temas atuais, como mobilidade, sustentabilidade, inovação, diversidade e inclusão. 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quem ainda não ouviu os oito episódios anteriores, basta clicar </w:t>
      </w:r>
      <w:hyperlink r:id="rId7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aqui</w:t>
        </w:r>
      </w:hyperlink>
      <w:r w:rsidDel="00000000" w:rsidR="00000000" w:rsidRPr="00000000">
        <w:rPr>
          <w:sz w:val="24"/>
          <w:szCs w:val="24"/>
          <w:rtl w:val="0"/>
        </w:rPr>
        <w:t xml:space="preserve">. Para conferir mais novidades e os próximos capítulos, é só assinar o Toyotacast nas principais plataformas de </w:t>
      </w:r>
      <w:r w:rsidDel="00000000" w:rsidR="00000000" w:rsidRPr="00000000">
        <w:rPr>
          <w:i w:val="1"/>
          <w:sz w:val="24"/>
          <w:szCs w:val="24"/>
          <w:rtl w:val="0"/>
        </w:rPr>
        <w:t xml:space="preserve">streaming</w:t>
      </w:r>
      <w:r w:rsidDel="00000000" w:rsidR="00000000" w:rsidRPr="00000000">
        <w:rPr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</w:rPr>
        <w:drawing>
          <wp:inline distB="0" distT="0" distL="0" distR="0">
            <wp:extent cx="1647825" cy="971550"/>
            <wp:effectExtent b="0" l="0" r="0" t="0"/>
            <wp:docPr descr="https://files.pressmanager.net/clientes/b45528042478960240c8daef20f870af/imagens/2022/01/05/bf59bfbcb7467d8aa88c575a7e1679e7_medium.jpg" id="76" name="image1.jpg"/>
            <a:graphic>
              <a:graphicData uri="http://schemas.openxmlformats.org/drawingml/2006/picture">
                <pic:pic>
                  <pic:nvPicPr>
                    <pic:cNvPr descr="https://files.pressmanager.net/clientes/b45528042478960240c8daef20f870af/imagens/2022/01/05/bf59bfbcb7467d8aa88c575a7e1679e7_medium.jpg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9715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Motor Corporation trabalha para desenvolver e fabricar produtos de alta qualidade, seguros e inovadores, além de serviços que criem felicidade, ao oferecer mobilidade para todos. Acreditamos que a verdadeira conquista vem ao suportar nossos clientes, parceiros, colaboradores e as comunidades onde estamos inseridos. Desde a nossa fundação, em 1937, aplicamos nossos “Princípios” na busca de uma sociedade mais inclusiva, sustentável e segura. Hoje, ao nos transformar em uma empresa de mobilidade que desenvolve tecnologias conectadas, automatizadas, compartilhadas e eletrificadas, nos mantemos fiéis aos nossos “Princípios”, e também a muitos dos Objetivos de Desenvolvimento Sustentável da ONU, para contribuir com um mundo melhor, onde todos são livres para se locomover.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Sobre a Toyota do Brasil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Toyota do Brasil está presente no País há mais de 60 anos. Possui quatro unidades produtivas, localizadas em Indaiatuba, Sorocaba, Porto Feliz e São Bernardo do Campo, todas no Estado de São Paulo, e emprega mais de 5 mil pessoas. Em 2020, lançou a</w:t>
      </w:r>
      <w:hyperlink r:id="rId9">
        <w:r w:rsidDel="00000000" w:rsidR="00000000" w:rsidRPr="00000000">
          <w:rPr>
            <w:rtl w:val="0"/>
          </w:rPr>
          <w:t xml:space="preserve"> </w:t>
        </w:r>
      </w:hyperlink>
      <w:hyperlink r:id="rId10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KINTO</w:t>
        </w:r>
      </w:hyperlink>
      <w:r w:rsidDel="00000000" w:rsidR="00000000" w:rsidRPr="00000000">
        <w:rPr>
          <w:sz w:val="24"/>
          <w:szCs w:val="24"/>
          <w:rtl w:val="0"/>
        </w:rPr>
        <w:t xml:space="preserve">, sua nova empresa de mobilidade, para oferecer serviços como aluguel de carros e gestão de frotas a uma sociedade em transformação. Também reforçou sua marca GAZOO, por meio de iniciativas que desafiam a excelência de seus veículos. Tem como missão produzir felicidade em larga escala e, para tanto, está comprometida em desenvolver carros cada vez melhores e mais seguros, além de avançar nas soluções de mobilidade. A empresa contribui com a sociedade, por meio do próprio negócio, com ações que visam diminuir o risco de acidentes, melhorar o tráfego de veículos e aumentar o uso de energias renováveis, e também por ser uma boa cidadã corporativa. Junto com a Fundação Toyota do Brasil, tem iniciativas que repercutem nos 17 Objetivos de Desenvolvimento Sustentável da ONU. Mais informações: </w:t>
      </w:r>
      <w:hyperlink r:id="rId11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www.toyota-global.com</w:t>
        </w:r>
      </w:hyperlink>
      <w:r w:rsidDel="00000000" w:rsidR="00000000" w:rsidRPr="00000000">
        <w:rPr>
          <w:sz w:val="24"/>
          <w:szCs w:val="24"/>
          <w:rtl w:val="0"/>
        </w:rPr>
        <w:t xml:space="preserve"> e </w:t>
      </w:r>
      <w:hyperlink r:id="rId12">
        <w:r w:rsidDel="00000000" w:rsidR="00000000" w:rsidRPr="00000000">
          <w:rPr>
            <w:sz w:val="24"/>
            <w:szCs w:val="24"/>
            <w:u w:val="single"/>
            <w:rtl w:val="0"/>
          </w:rPr>
          <w:t xml:space="preserve">www.toyota.com.br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7">
      <w:pPr>
        <w:spacing w:after="0" w:line="240" w:lineRule="auto"/>
        <w:ind w:left="-284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Mais informações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Toyota do Brasil – Departamento de Comunicação</w:t>
      </w:r>
    </w:p>
    <w:p w:rsidR="00000000" w:rsidDel="00000000" w:rsidP="00000000" w:rsidRDefault="00000000" w:rsidRPr="00000000" w14:paraId="0000001A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Rafael Borges – coordenador de Comunicação e Imprensa – (11) 98684-8619 – </w:t>
      </w:r>
      <w:hyperlink r:id="rId13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raborges@toyota.com.br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Kelly Buarque – </w:t>
      </w:r>
      <w:hyperlink r:id="rId14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kbuarque@toyota.com.br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Kessia Santos – </w:t>
      </w:r>
      <w:hyperlink r:id="rId15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kosantos@toyota.com.br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Leandro Volcov – </w:t>
      </w:r>
      <w:hyperlink r:id="rId16">
        <w:r w:rsidDel="00000000" w:rsidR="00000000" w:rsidRPr="00000000">
          <w:rPr>
            <w:color w:val="0000ff"/>
            <w:sz w:val="24"/>
            <w:szCs w:val="24"/>
            <w:u w:val="single"/>
            <w:rtl w:val="0"/>
          </w:rPr>
          <w:t xml:space="preserve">lvolcov@toyota.com.br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spacing w:after="0" w:lin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RPMA Comunicação</w:t>
      </w:r>
    </w:p>
    <w:p w:rsidR="00000000" w:rsidDel="00000000" w:rsidP="00000000" w:rsidRDefault="00000000" w:rsidRPr="00000000" w14:paraId="00000020">
      <w:pPr>
        <w:spacing w:after="0" w:line="240" w:lineRule="auto"/>
        <w:ind w:hanging="2"/>
        <w:rPr>
          <w:color w:val="b0273b"/>
          <w:sz w:val="24"/>
          <w:szCs w:val="24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toyota@rpmacomunicacao.com.br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Guilherme Magna - (11) 98600-8988</w:t>
      </w:r>
    </w:p>
    <w:p w:rsidR="00000000" w:rsidDel="00000000" w:rsidP="00000000" w:rsidRDefault="00000000" w:rsidRPr="00000000" w14:paraId="00000023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Leonardo de Araujo - (11) 96084-0473</w:t>
      </w:r>
    </w:p>
    <w:p w:rsidR="00000000" w:rsidDel="00000000" w:rsidP="00000000" w:rsidRDefault="00000000" w:rsidRPr="00000000" w14:paraId="00000024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Raphaella Abrahão - (11) 94188-7017</w:t>
      </w:r>
    </w:p>
    <w:p w:rsidR="00000000" w:rsidDel="00000000" w:rsidP="00000000" w:rsidRDefault="00000000" w:rsidRPr="00000000" w14:paraId="00000025">
      <w:pPr>
        <w:spacing w:after="0" w:line="240" w:lineRule="auto"/>
        <w:ind w:hanging="2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Fernando Irribarra – (11) 97418-3710</w:t>
      </w:r>
    </w:p>
    <w:p w:rsidR="00000000" w:rsidDel="00000000" w:rsidP="00000000" w:rsidRDefault="00000000" w:rsidRPr="00000000" w14:paraId="00000026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Tel.: 11 5501-4655</w:t>
      </w:r>
    </w:p>
    <w:p w:rsidR="00000000" w:rsidDel="00000000" w:rsidP="00000000" w:rsidRDefault="00000000" w:rsidRPr="00000000" w14:paraId="00000027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b w:val="1"/>
          <w:color w:val="b0273b"/>
          <w:sz w:val="24"/>
          <w:szCs w:val="24"/>
          <w:rtl w:val="0"/>
        </w:rPr>
        <w:t xml:space="preserve">www.rpmacomunicacao.com.br  </w:t>
      </w:r>
    </w:p>
    <w:p w:rsidR="00000000" w:rsidDel="00000000" w:rsidP="00000000" w:rsidRDefault="00000000" w:rsidRPr="00000000" w14:paraId="00000028">
      <w:pPr>
        <w:spacing w:after="0" w:line="240" w:lineRule="auto"/>
        <w:ind w:hanging="2"/>
        <w:rPr>
          <w:b w:val="1"/>
          <w:color w:val="b0273b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17" w:type="default"/>
      <w:headerReference r:id="rId18" w:type="first"/>
      <w:headerReference r:id="rId19" w:type="even"/>
      <w:footerReference r:id="rId20" w:type="default"/>
      <w:footerReference r:id="rId21" w:type="first"/>
      <w:footerReference r:id="rId22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  <w:t xml:space="preserve">                                                                                                     </w: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2" name="image3.png"/>
              <a:graphic>
                <a:graphicData uri="http://schemas.openxmlformats.org/drawingml/2006/picture">
                  <pic:pic>
                    <pic:nvPicPr>
                      <pic:cNvPr descr="• PUBLIC 公開"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4647255</wp:posOffset>
          </wp:positionH>
          <wp:positionV relativeFrom="paragraph">
            <wp:posOffset>-200015</wp:posOffset>
          </wp:positionV>
          <wp:extent cx="757237" cy="555307"/>
          <wp:effectExtent b="0" l="0" r="0" t="0"/>
          <wp:wrapSquare wrapText="bothSides" distB="114300" distT="114300" distL="114300" distR="114300"/>
          <wp:docPr id="7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" cy="55530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-70464</wp:posOffset>
          </wp:positionH>
          <wp:positionV relativeFrom="paragraph">
            <wp:posOffset>-116179</wp:posOffset>
          </wp:positionV>
          <wp:extent cx="1468755" cy="467995"/>
          <wp:effectExtent b="0" l="0" r="0" t="0"/>
          <wp:wrapNone/>
          <wp:docPr id="77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755" cy="4679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  <w:t xml:space="preserve">    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3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3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1.00000381469727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MS UI Gothic" w:cs="MS UI Gothic" w:eastAsia="MS UI Gothic" w:hAnsi="MS UI Gothic"/>
                              <w:b w:val="0"/>
                              <w:i w:val="0"/>
                              <w:smallCaps w:val="0"/>
                              <w:strike w:val="0"/>
                              <w:color w:val="008000"/>
                              <w:sz w:val="20"/>
                              <w:vertAlign w:val="baseline"/>
                            </w:rPr>
                            <w:t xml:space="preserve">• PUBLIC 公開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2413000</wp:posOffset>
              </wp:positionH>
              <wp:positionV relativeFrom="paragraph">
                <wp:posOffset>0</wp:posOffset>
              </wp:positionV>
              <wp:extent cx="491490" cy="491490"/>
              <wp:effectExtent b="0" l="0" r="0" t="0"/>
              <wp:wrapSquare wrapText="bothSides" distB="0" distT="0" distL="0" distR="0"/>
              <wp:docPr descr="• PUBLIC 公開" id="74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91490" cy="4914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2.00000000000003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6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7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8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9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a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b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c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d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e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f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340054"/>
  </w:style>
  <w:style w:type="paragraph" w:styleId="Rodap">
    <w:name w:val="footer"/>
    <w:basedOn w:val="Normal"/>
    <w:link w:val="RodapChar"/>
    <w:uiPriority w:val="99"/>
    <w:unhideWhenUsed w:val="1"/>
    <w:rsid w:val="0034005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340054"/>
  </w:style>
  <w:style w:type="paragraph" w:styleId="PargrafodaLista">
    <w:name w:val="List Paragraph"/>
    <w:basedOn w:val="Normal"/>
    <w:uiPriority w:val="34"/>
    <w:qFormat w:val="1"/>
    <w:rsid w:val="00FE679A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FE679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FE679A"/>
    <w:rPr>
      <w:rFonts w:ascii="Segoe UI" w:cs="Segoe UI" w:hAnsi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 w:val="1"/>
    <w:unhideWhenUsed w:val="1"/>
    <w:rsid w:val="00491C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491CD6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491CD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491CD6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491CD6"/>
    <w:rPr>
      <w:b w:val="1"/>
      <w:bCs w:val="1"/>
      <w:sz w:val="20"/>
      <w:szCs w:val="20"/>
    </w:rPr>
  </w:style>
  <w:style w:type="paragraph" w:styleId="NormalWeb">
    <w:name w:val="Normal (Web)"/>
    <w:basedOn w:val="Normal"/>
    <w:uiPriority w:val="99"/>
    <w:unhideWhenUsed w:val="1"/>
    <w:rsid w:val="00331BE4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rte">
    <w:name w:val="Strong"/>
    <w:basedOn w:val="Fontepargpadro"/>
    <w:uiPriority w:val="22"/>
    <w:qFormat w:val="1"/>
    <w:rsid w:val="00331BE4"/>
    <w:rPr>
      <w:b w:val="1"/>
      <w:bCs w:val="1"/>
    </w:rPr>
  </w:style>
  <w:style w:type="character" w:styleId="Hyperlink">
    <w:name w:val="Hyperlink"/>
    <w:basedOn w:val="Fontepargpadro"/>
    <w:uiPriority w:val="99"/>
    <w:unhideWhenUsed w:val="1"/>
    <w:rsid w:val="00331BE4"/>
    <w:rPr>
      <w:color w:val="0000ff"/>
      <w:u w:val="single"/>
    </w:rPr>
  </w:style>
  <w:style w:type="character" w:styleId="nfase">
    <w:name w:val="Emphasis"/>
    <w:basedOn w:val="Fontepargpadro"/>
    <w:uiPriority w:val="20"/>
    <w:qFormat w:val="1"/>
    <w:rsid w:val="00C47BCD"/>
    <w:rPr>
      <w:i w:val="1"/>
      <w:iCs w:val="1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269DC"/>
    <w:rPr>
      <w:color w:val="605e5c"/>
      <w:shd w:color="auto" w:fill="e1dfdd" w:val="clear"/>
    </w:rPr>
  </w:style>
  <w:style w:type="paragraph" w:styleId="Reviso">
    <w:name w:val="Revision"/>
    <w:hidden w:val="1"/>
    <w:uiPriority w:val="99"/>
    <w:semiHidden w:val="1"/>
    <w:rsid w:val="00BE7AAB"/>
    <w:pPr>
      <w:spacing w:after="0" w:line="240" w:lineRule="auto"/>
    </w:pPr>
  </w:style>
  <w:style w:type="character" w:styleId="MenoPendente2" w:customStyle="1">
    <w:name w:val="Menção Pendente2"/>
    <w:basedOn w:val="Fontepargpadro"/>
    <w:uiPriority w:val="99"/>
    <w:semiHidden w:val="1"/>
    <w:unhideWhenUsed w:val="1"/>
    <w:rsid w:val="008275A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3.xml"/><Relationship Id="rId11" Type="http://schemas.openxmlformats.org/officeDocument/2006/relationships/hyperlink" Target="https://www.toyota-global.com/" TargetMode="External"/><Relationship Id="rId22" Type="http://schemas.openxmlformats.org/officeDocument/2006/relationships/footer" Target="footer1.xml"/><Relationship Id="rId10" Type="http://schemas.openxmlformats.org/officeDocument/2006/relationships/hyperlink" Target="https://kintomobility.com.br/" TargetMode="External"/><Relationship Id="rId21" Type="http://schemas.openxmlformats.org/officeDocument/2006/relationships/footer" Target="footer2.xml"/><Relationship Id="rId13" Type="http://schemas.openxmlformats.org/officeDocument/2006/relationships/hyperlink" Target="mailto:raborges@toyota.com.br" TargetMode="External"/><Relationship Id="rId12" Type="http://schemas.openxmlformats.org/officeDocument/2006/relationships/hyperlink" Target="https://www.toyota.com.br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kintomobility.com.br/" TargetMode="External"/><Relationship Id="rId15" Type="http://schemas.openxmlformats.org/officeDocument/2006/relationships/hyperlink" Target="mailto:kosantos@toyota.com.br" TargetMode="External"/><Relationship Id="rId14" Type="http://schemas.openxmlformats.org/officeDocument/2006/relationships/hyperlink" Target="mailto:kbuarque@toyota.com.br" TargetMode="External"/><Relationship Id="rId17" Type="http://schemas.openxmlformats.org/officeDocument/2006/relationships/header" Target="header1.xml"/><Relationship Id="rId16" Type="http://schemas.openxmlformats.org/officeDocument/2006/relationships/hyperlink" Target="mailto:lvolcov@toytoa.com.br" TargetMode="External"/><Relationship Id="rId5" Type="http://schemas.openxmlformats.org/officeDocument/2006/relationships/styles" Target="styles.xml"/><Relationship Id="rId19" Type="http://schemas.openxmlformats.org/officeDocument/2006/relationships/header" Target="header2.xml"/><Relationship Id="rId6" Type="http://schemas.openxmlformats.org/officeDocument/2006/relationships/customXml" Target="../customXML/item1.xml"/><Relationship Id="rId18" Type="http://schemas.openxmlformats.org/officeDocument/2006/relationships/header" Target="header3.xml"/><Relationship Id="rId7" Type="http://schemas.openxmlformats.org/officeDocument/2006/relationships/hyperlink" Target="https://open.spotify.com/show/13wzOddcffGtiU9SkzCC0j" TargetMode="External"/><Relationship Id="rId8" Type="http://schemas.openxmlformats.org/officeDocument/2006/relationships/image" Target="media/image1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p4wwDQJTD4PV7/au0grS38JaA==">AMUW2mWUMJOyK3iL6JWiz/yadD9bEkJUokXWee+aQ49/mx6ms265EyPQenb7X4hsZ5A0I6lNZqR0sTX9tafPPdCLo6oljVcLHb81S761sck3EPlEJH0EkIYirHtO0dL7hTNBtVAfOrnt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2022-07-22T17:47:00Z</dcterms:created>
  <dc:creator>fernando.irribarra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2022-06-01T17:14:08Z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99fc1fa2-5bfd-4d6d-900e-54aa88779821</vt:lpwstr>
  </property>
  <property fmtid="{D5CDD505-2E9C-101B-9397-08002B2CF9AE}" pid="11" name="MSIP_Label_023e975b-7b34-49da-9033-9c8f8f7bcde3_ContentBits">
    <vt:lpwstr>1</vt:lpwstr>
  </property>
</Properties>
</file>