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Toyota participa da Mobility &amp; Show 2022</w:t>
      </w:r>
    </w:p>
    <w:p w:rsidR="00000000" w:rsidDel="00000000" w:rsidP="00000000" w:rsidRDefault="00000000" w:rsidRPr="00000000" w14:paraId="00000003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Feira será realizada de 29 a 31 de julho, com exposição de automóveis, veículos adaptados, equipamentos e serviços para pessoas com deficiência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Estarão expostos no evento os modelos Corolla XEI, Corolla Cross XRE, Yaris Sedan e Hatch na versão XLS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Os participantes ainda poderão realizar test drive nos veículos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Toyota do Brasil participa da Mobility &amp; Show SP 2022, evento que reúne automóveis, produtos, serviços e equipamentos para o auxílio na mobilidade de pessoas com algum tipo de deficiência (PCDs) e seus familiares. A feira acontece entre 29 e 31 de julho, no Estádio do Pacaembu, em São Paulo, com estacionamento e entrada gratuita.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Durante todos os dias do evento, a montadora estará presente em um estande, com a exposição de veículos do seu portfólio como o Corolla Sedã na versão XEI, Corolla Cross XRE e Yaris Hatch na versão XLS. Os visitantes terão a oportunidade de realizar o test-drive nesses modelos adaptados, incluindo o Yaris Sedã, com pomo giratório e alavanca de acelerador e freio.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participação na feira faz parte da estratégia da marca de sempre oferecer soluções de mobilidade adequadas para qualquer tipo de demanda, conforme as necessidades dos consumidores.</w:t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Desde fevereiro, a isenção de IPI na compra de automóvel por pessoas com deficiência (PCDs) ou transtorno do espectro autista voltou a ser concedida pela Receita Federal. A aquisição de veículos livres do IPI poderá ser feita até 31 de dezembro de 2026.</w:t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Por isso, consultores Toyota estarão disponíveis, para esclarecer dúvidas a respeito da obtenção de documentação para isenção de impostos na compra de veículos zero-quilômetro.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Lançada no Brasil em 2015, em São Paulo, a mostra é feita nos moldes da Mobility Road Show, realizada há mais de 30 anos em Londres. Em 2015, a primeira edição da feira, realizada em Interlagos, região sul da capital paulista, recebeu cerca de 3 mil visitantes e realizou quase mil test drives. Em 2016, a segunda edição da mostra, no Campo de Marte, região norte da cidade, abriu suas portas para quase 6 mil visitantes e fez 1.943 test drives.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 sua última edição, em 2019, a feira reuniu mais de 20 marcas de automóveis, promoveu 2.500 test drives em carros adaptados e contabilizou 12 mil visitantes nos três dias de evento.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Serviço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Mobility &amp; Show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Quando:</w:t>
      </w:r>
      <w:r w:rsidDel="00000000" w:rsidR="00000000" w:rsidRPr="00000000">
        <w:rPr>
          <w:highlight w:val="white"/>
          <w:rtl w:val="0"/>
        </w:rPr>
        <w:t xml:space="preserve"> 29, 30 e 31 de julho de 2022 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Horário:</w:t>
      </w:r>
      <w:r w:rsidDel="00000000" w:rsidR="00000000" w:rsidRPr="00000000">
        <w:rPr>
          <w:highlight w:val="white"/>
          <w:rtl w:val="0"/>
        </w:rPr>
        <w:t xml:space="preserve"> sexta-feira, das 12h às 19h; sábado e domingo, das 10h às 19h </w:t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Local:</w:t>
      </w:r>
      <w:r w:rsidDel="00000000" w:rsidR="00000000" w:rsidRPr="00000000">
        <w:rPr>
          <w:highlight w:val="white"/>
          <w:rtl w:val="0"/>
        </w:rPr>
        <w:t xml:space="preserve"> Estádio do Pacaembu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Endereço:</w:t>
      </w:r>
      <w:r w:rsidDel="00000000" w:rsidR="00000000" w:rsidRPr="00000000">
        <w:rPr>
          <w:highlight w:val="white"/>
          <w:rtl w:val="0"/>
        </w:rPr>
        <w:t xml:space="preserve"> Praça Charles Miller, Pacaembu – São Paulo, SP</w:t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Entrada e estacionamento:</w:t>
      </w:r>
      <w:r w:rsidDel="00000000" w:rsidR="00000000" w:rsidRPr="00000000">
        <w:rPr>
          <w:highlight w:val="white"/>
          <w:rtl w:val="0"/>
        </w:rPr>
        <w:t xml:space="preserve"> Gratuitos.</w:t>
      </w:r>
    </w:p>
    <w:p w:rsidR="00000000" w:rsidDel="00000000" w:rsidP="00000000" w:rsidRDefault="00000000" w:rsidRPr="00000000" w14:paraId="0000001F">
      <w:pPr>
        <w:shd w:fill="ffffff" w:val="clear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shd w:fill="ffffff" w:val="clear"/>
        <w:spacing w:before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433513" cy="844180"/>
            <wp:effectExtent b="0" l="0" r="0" t="0"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4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Toyota do Brasil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8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KINTO</w:t>
        </w:r>
      </w:hyperlink>
      <w:r w:rsidDel="00000000" w:rsidR="00000000" w:rsidRPr="00000000">
        <w:rPr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rtl w:val="0"/>
        </w:rPr>
        <w:t xml:space="preserve"> 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ind w:left="-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7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Rafael Borges – coordenador de Comunicação e Imprensa – (11) 98684-8619 – </w:t>
      </w:r>
      <w:r w:rsidDel="00000000" w:rsidR="00000000" w:rsidRPr="00000000">
        <w:rPr>
          <w:color w:val="0000ff"/>
          <w:u w:val="single"/>
          <w:rtl w:val="0"/>
        </w:rPr>
        <w:t xml:space="preserve">raborges@toyota.com.br</w:t>
      </w:r>
    </w:p>
    <w:p w:rsidR="00000000" w:rsidDel="00000000" w:rsidP="00000000" w:rsidRDefault="00000000" w:rsidRPr="00000000" w14:paraId="00000028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Kelly Buarque – </w:t>
      </w:r>
      <w:r w:rsidDel="00000000" w:rsidR="00000000" w:rsidRPr="00000000">
        <w:rPr>
          <w:color w:val="0000ff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29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Kessia Santos – </w:t>
      </w:r>
      <w:r w:rsidDel="00000000" w:rsidR="00000000" w:rsidRPr="00000000">
        <w:rPr>
          <w:color w:val="0000ff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2A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Leandro Volcov – </w:t>
      </w:r>
      <w:r w:rsidDel="00000000" w:rsidR="00000000" w:rsidRPr="00000000">
        <w:rPr>
          <w:color w:val="0000ff"/>
          <w:u w:val="single"/>
          <w:rtl w:val="0"/>
        </w:rPr>
        <w:t xml:space="preserve">lvolcov@toyota.com.br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2D">
      <w:pPr>
        <w:jc w:val="both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2E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F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Leonardo Araujo – (11) 96084-0473</w:t>
      </w:r>
    </w:p>
    <w:p w:rsidR="00000000" w:rsidDel="00000000" w:rsidP="00000000" w:rsidRDefault="00000000" w:rsidRPr="00000000" w14:paraId="00000030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31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32">
      <w:pPr>
        <w:jc w:val="both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Tel.: 11 5501-4655</w:t>
      </w:r>
    </w:p>
    <w:p w:rsidR="00000000" w:rsidDel="00000000" w:rsidP="00000000" w:rsidRDefault="00000000" w:rsidRPr="00000000" w14:paraId="00000033">
      <w:pPr>
        <w:jc w:val="both"/>
        <w:rPr>
          <w:color w:val="0000ff"/>
          <w:u w:val="single"/>
        </w:rPr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b w:val="1"/>
      </w:rPr>
      <w:drawing>
        <wp:inline distB="114300" distT="114300" distL="114300" distR="114300">
          <wp:extent cx="1928813" cy="618827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813" cy="618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3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33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4788225</wp:posOffset>
          </wp:positionH>
          <wp:positionV relativeFrom="paragraph">
            <wp:posOffset>-165367</wp:posOffset>
          </wp:positionV>
          <wp:extent cx="938213" cy="661840"/>
          <wp:effectExtent b="0" l="0" r="0" t="0"/>
          <wp:wrapSquare wrapText="bothSides" distB="114300" distT="114300" distL="114300" distR="11430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3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3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3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965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65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65C8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05260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 w:val="1"/>
    <w:uiPriority w:val="99"/>
    <w:semiHidden w:val="1"/>
    <w:rsid w:val="0005260E"/>
    <w:pPr>
      <w:spacing w:line="240" w:lineRule="auto"/>
    </w:pPr>
  </w:style>
  <w:style w:type="character" w:styleId="Hyperlink">
    <w:name w:val="Hyperlink"/>
    <w:basedOn w:val="Fontepargpadro"/>
    <w:uiPriority w:val="99"/>
    <w:unhideWhenUsed w:val="1"/>
    <w:rsid w:val="00443CCC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443CCC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723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/" TargetMode="External"/><Relationship Id="rId10" Type="http://schemas.openxmlformats.org/officeDocument/2006/relationships/hyperlink" Target="https://www.toyota-global.com/" TargetMode="External"/><Relationship Id="rId13" Type="http://schemas.openxmlformats.org/officeDocument/2006/relationships/hyperlink" Target="http://www.rpmacomunicacao.com.br/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ntomobility.com.br/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yperlink" Target="https://kintomobility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2h+P7LskIKjIjyvHVW7sGJnCQA==">AMUW2mXLqLLBLaSy/cF3Q13/IzyeLWaudwPnW8ms6lH3I+RbjznGOBvkPhGhAFYI9HUUFHHPLodZYKlZYZUkKoZ8G9PNSuIhdxfxsI7d8xpGXQFie3ebLKE=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2022-07-28T17:34:00Z</dcterms:created>
  <dc:creator>Rafael Parente Borges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