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Toyota Hilux GR-Sport é o novo carro de apoio da Stock Car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Picape Hilux GR-Sport chega com o consagrado motor turbodiesel de 2.8 l e 224 cv de potência</w:t>
      </w:r>
    </w:p>
    <w:p w:rsidR="00000000" w:rsidDel="00000000" w:rsidP="00000000" w:rsidRDefault="00000000" w:rsidRPr="00000000" w14:paraId="00000005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 sétima etapa da Stock Car a ser disputada entre os dias 30 e 31 de julho, no Autódromo de Interlagos</w:t>
      </w:r>
    </w:p>
    <w:p w:rsidR="00000000" w:rsidDel="00000000" w:rsidP="00000000" w:rsidRDefault="00000000" w:rsidRPr="00000000" w14:paraId="00000007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 Stock Car é um dos maiores eventos automobilísticos do Brasil, e, não à </w:t>
      </w:r>
      <w:r w:rsidDel="00000000" w:rsidR="00000000" w:rsidRPr="00000000">
        <w:rPr>
          <w:rtl w:val="0"/>
        </w:rPr>
        <w:t xml:space="preserve">toa a Toyota</w:t>
      </w:r>
      <w:r w:rsidDel="00000000" w:rsidR="00000000" w:rsidRPr="00000000">
        <w:rPr>
          <w:rtl w:val="0"/>
        </w:rPr>
        <w:t xml:space="preserve"> conta com seis equipes na competição. Para dar um novo passo nessa parceria, a GAZOO Racing, divisão esportiva da marca, acaba de confirmar que a Hilux GR-Sport estará novamente entre os carros de apoio das etapas.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 picape, que é produzida na planta da montadora em Zárate, na Argentina, está equipada com um motor diesel de 2.8 litros, quatro cilindros em linha e 224 cv, com turbocompressor de geometria variável (TGV) e intercooler (1GD), acoplado a uma caixa automática de seis velocidades. Com isso, a picape, na versão  GR-Sport, ganhou 20 cv de potência em relação às demais versões. Apresenta ainda melhorias na suspensão, que proporcionam comportamento dinâmico notável, bem como uma renovação no design externo e interno.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Na parte estética, a picape recebeu novos adesivos, para participar do evento, e suporte para giroflex no teto. A versão GR-Sport continua com o novo estilo das rodas de liga leve de 17 polegadas, com design exclusivo e pneus 265/60 R17 all-terrain.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 Hilux GR-Sport foi desenvolvida com a </w:t>
      </w:r>
      <w:r w:rsidDel="00000000" w:rsidR="00000000" w:rsidRPr="00000000">
        <w:rPr>
          <w:i w:val="1"/>
          <w:rtl w:val="0"/>
        </w:rPr>
        <w:t xml:space="preserve">expertise</w:t>
      </w:r>
      <w:r w:rsidDel="00000000" w:rsidR="00000000" w:rsidRPr="00000000">
        <w:rPr>
          <w:rtl w:val="0"/>
        </w:rPr>
        <w:t xml:space="preserve"> da equipe de engenheiros da marca Toyota GAZOO Racing na América Latina, que busca traduzir e levar as lições das pistas de corrida e os carros de performance aos veículos de rua.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Além da etapa de Interlagos, a Stock Car ainda terá mais cinco etapas neste ano:</w:t>
      </w:r>
      <w:r w:rsidDel="00000000" w:rsidR="00000000" w:rsidRPr="00000000">
        <w:rPr>
          <w:highlight w:val="white"/>
          <w:rtl w:val="0"/>
        </w:rPr>
        <w:t xml:space="preserve"> Velocittá (SP)</w:t>
      </w:r>
      <w:r w:rsidDel="00000000" w:rsidR="00000000" w:rsidRPr="00000000">
        <w:rPr>
          <w:rtl w:val="0"/>
        </w:rPr>
        <w:t xml:space="preserve">, Santa Cruz do Sul (RS), duas em Goiânia (GO) e Brasília (DF).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4">
      <w:pPr>
        <w:shd w:fill="ffffff" w:val="clear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433513" cy="844180"/>
            <wp:effectExtent b="0" l="0" r="0" t="0"/>
            <wp:docPr id="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844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Motor Corporation trabalha para desenvolver e fabricar produtos de alta qualidade, seguros e inovadores, além de serviços que criem felicidade, ao oferecer mobilidade para todos. Acreditamos que a verdadeira conquista vem ao suportar nossos clientes, parceiros, colaboradores e as comunidades onde estamos inseridos. Desde a nossa fundação, em 1937, aplicamos nossos “Princípios” na busca de uma sociedade mais inclusiva, sustentável e segura. Hoje, ao nos transformar em uma empresa de mobilidade que desenvolve tecnologias conectadas, automatizadas, compartilhadas e eletrificadas, nos mantemos fiéis aos nossos “Princípios”, e também a muitos dos Objetivos de Desenvolvimento Sustentável da ONU, para contribuir com um mundo melhor, onde todos são livres para se locomover.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a Toyota do Brasil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do Brasil está presente no País há mais de 60 anos. Possui quatro unidades produtivas, localizadas em Indaiatuba, Sorocaba, Porto Feliz e São Bernardo do Campo, todas no Estado de São Paulo, e emprega mais de 5 mil pessoas. Em 2020, lançou a</w:t>
      </w:r>
      <w:hyperlink r:id="rId8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KINTO</w:t>
        </w:r>
      </w:hyperlink>
      <w:r w:rsidDel="00000000" w:rsidR="00000000" w:rsidRPr="00000000">
        <w:rPr>
          <w:sz w:val="24"/>
          <w:szCs w:val="24"/>
          <w:rtl w:val="0"/>
        </w:rPr>
        <w:t xml:space="preserve">, sua nova empresa de mobilidade, para oferecer serviços como aluguel de carros e gestão de frotas a uma sociedade em transformação. Também reforçou sua marca GAZOO, por meio de iniciativas que desafiam a excelência de seus veículos. Tem como missão produzir felicidade em larga escala e, para tanto, está comprometida em desenvolver carros cada vez melhores e mais seguros, além de avançar nas soluções de mobilidade. A empresa contribui com a sociedade, por meio do próprio negócio, com ações que visam diminuir o risco de acidentes, melhorar o tráfego de veículos e aumentar o uso de energias renováveis, e também por ser uma boa cidadã corporativa. Junto com a Fundação Toyota do Brasil, tem iniciativas que repercutem nos 17 Objetivos de Desenvolvimento Sustentável da ONU. Mais informações: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www.toyota-global.com</w:t>
        </w:r>
      </w:hyperlink>
      <w:r w:rsidDel="00000000" w:rsidR="00000000" w:rsidRPr="00000000">
        <w:rPr>
          <w:sz w:val="24"/>
          <w:szCs w:val="24"/>
          <w:rtl w:val="0"/>
        </w:rPr>
        <w:t xml:space="preserve"> e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ind w:left="-2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B">
      <w:pPr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Rafael Borges – coordenador de Comunicação e Imprensa – (11) 98684-8619 –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raborges@toyota.com.br</w:t>
      </w:r>
    </w:p>
    <w:p w:rsidR="00000000" w:rsidDel="00000000" w:rsidP="00000000" w:rsidRDefault="00000000" w:rsidRPr="00000000" w14:paraId="0000001C">
      <w:pPr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Kelly Buarque –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kbuarque@toyota.com.br</w:t>
      </w:r>
    </w:p>
    <w:p w:rsidR="00000000" w:rsidDel="00000000" w:rsidP="00000000" w:rsidRDefault="00000000" w:rsidRPr="00000000" w14:paraId="0000001D">
      <w:pPr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Kessia Santos –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1E">
      <w:pPr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Leandro Volcov –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lvolcov@toyota.com.br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21">
      <w:pPr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toyota@rpmacomunicacao.com.br</w:t>
      </w:r>
    </w:p>
    <w:p w:rsidR="00000000" w:rsidDel="00000000" w:rsidP="00000000" w:rsidRDefault="00000000" w:rsidRPr="00000000" w14:paraId="00000022">
      <w:pPr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3">
      <w:pPr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Leonardo Araujo – (11) 96084-0473</w:t>
      </w:r>
    </w:p>
    <w:p w:rsidR="00000000" w:rsidDel="00000000" w:rsidP="00000000" w:rsidRDefault="00000000" w:rsidRPr="00000000" w14:paraId="00000024">
      <w:pPr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Raphaella Abrahão – (11) 94188-7017</w:t>
      </w:r>
    </w:p>
    <w:p w:rsidR="00000000" w:rsidDel="00000000" w:rsidP="00000000" w:rsidRDefault="00000000" w:rsidRPr="00000000" w14:paraId="00000025">
      <w:pPr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26">
      <w:pPr>
        <w:jc w:val="both"/>
        <w:rPr>
          <w:b w:val="1"/>
          <w:color w:val="808080"/>
          <w:sz w:val="24"/>
          <w:szCs w:val="24"/>
        </w:rPr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Tel.: 11 5501-4655</w:t>
      </w:r>
    </w:p>
    <w:p w:rsidR="00000000" w:rsidDel="00000000" w:rsidP="00000000" w:rsidRDefault="00000000" w:rsidRPr="00000000" w14:paraId="00000027">
      <w:pPr>
        <w:jc w:val="both"/>
        <w:rPr>
          <w:color w:val="0000ff"/>
          <w:sz w:val="24"/>
          <w:szCs w:val="24"/>
          <w:u w:val="single"/>
        </w:rPr>
      </w:pPr>
      <w:hyperlink r:id="rId1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www.rpmacomunicacao.com.br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b w:val="1"/>
      </w:rPr>
      <w:drawing>
        <wp:inline distB="114300" distT="114300" distL="114300" distR="114300">
          <wp:extent cx="1928813" cy="618827"/>
          <wp:effectExtent b="0" l="0" r="0" t="0"/>
          <wp:docPr id="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8813" cy="6188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2590800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Square wrapText="bothSides" distB="0" distT="0" distL="0" distR="0"/>
              <wp:docPr descr="• PUBLIC 公開" id="2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2590800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Square wrapText="bothSides" distB="0" distT="0" distL="0" distR="0"/>
              <wp:docPr descr="• PUBLIC 公開" id="27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4788225</wp:posOffset>
          </wp:positionH>
          <wp:positionV relativeFrom="paragraph">
            <wp:posOffset>-165368</wp:posOffset>
          </wp:positionV>
          <wp:extent cx="938213" cy="661840"/>
          <wp:effectExtent b="0" l="0" r="0" t="0"/>
          <wp:wrapSquare wrapText="bothSides" distB="114300" distT="114300" distL="114300" distR="11430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213" cy="661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2590800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Square wrapText="bothSides" distB="0" distT="0" distL="0" distR="0"/>
              <wp:docPr descr="• PUBLIC 公開" id="2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2590800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Square wrapText="bothSides" distB="0" distT="0" distL="0" distR="0"/>
              <wp:docPr descr="• PUBLIC 公開" id="26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2590800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Square wrapText="bothSides" distB="0" distT="0" distL="0" distR="0"/>
              <wp:docPr descr="• PUBLIC 公開" id="2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2590800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Square wrapText="bothSides" distB="0" distT="0" distL="0" distR="0"/>
              <wp:docPr descr="• PUBLIC 公開" id="25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965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F965C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F965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965C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965C8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05260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260E"/>
  </w:style>
  <w:style w:type="paragraph" w:styleId="Reviso">
    <w:name w:val="Revision"/>
    <w:hidden w:val="1"/>
    <w:uiPriority w:val="99"/>
    <w:semiHidden w:val="1"/>
    <w:rsid w:val="0005260E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-global.com/" TargetMode="External"/><Relationship Id="rId10" Type="http://schemas.openxmlformats.org/officeDocument/2006/relationships/hyperlink" Target="https://www.toyota-global.com/" TargetMode="External"/><Relationship Id="rId13" Type="http://schemas.openxmlformats.org/officeDocument/2006/relationships/hyperlink" Target="http://www.rpmacomunicacao.com.br/" TargetMode="External"/><Relationship Id="rId12" Type="http://schemas.openxmlformats.org/officeDocument/2006/relationships/hyperlink" Target="https://www.toyota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ntomobility.com.br/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kintomobility.com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/lv1hrQOktYR0snjMectrBxkA==">AMUW2mUzZimvsXhwnYKPYEh+LH3QSWcjwU6cfUXzx0HPbHjt+E4paPlENtaSRMCZt26ICdcXJ74aRDE4ohgJJKPdx7PmLe7RIHLo62UY4FoQ4S1colXUd4k=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2022-07-29T12:00:00Z</dcterms:created>
  <dc:creator>Rafael Parente Borges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2022-07-13T16:54:52Z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b2f7a72b-9062-410f-98d9-0df6bff7de4a</vt:lpwstr>
  </property>
  <property fmtid="{D5CDD505-2E9C-101B-9397-08002B2CF9AE}" pid="11" name="MSIP_Label_023e975b-7b34-49da-9033-9c8f8f7bcde3_ContentBits">
    <vt:lpwstr>1</vt:lpwstr>
  </property>
</Properties>
</file>