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Rafael Chang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CEO da Toyota para a América Latina e Caribe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Rafael tem administrado o negócio com objetivo de melhorar sua competitividade e compartilhar maior  valor com colaboradores, parceiros e sociedade.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Durante a sua gestão o negócio cresceu, passou por uma importante transformação cultural interna alinhada ao Toyota Way.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Rafael é o CEO da Toyota para a América Latina e Caribe . Desde então, tem administrado o negócio com o objetivo de melhorar sua competitividade e compartilhar mais valor com colaboradores, parceiros e sociedade. Durante sua gestão, o negócio cresceu, passou por uma importante transformação cultural interna alinhada ao Toyota Way, passou a exportar para 22 países e tornou-se referência em ESG. Rafael é peruano e trabalha na Toyota em diferentes cargos e países desde 1993.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